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ascii="黑体" w:hAnsi="黑体" w:eastAsia="黑体" w:cs="黑体"/>
          <w:lang w:val="en-US" w:eastAsia="zh-CN"/>
        </w:rPr>
      </w:pPr>
    </w:p>
    <w:p>
      <w:pPr>
        <w:pStyle w:val="4"/>
        <w:bidi w:val="0"/>
        <w:jc w:val="center"/>
        <w:rPr>
          <w:rFonts w:hint="eastAsia" w:ascii="黑体" w:hAnsi="黑体" w:eastAsia="黑体" w:cs="黑体"/>
          <w:lang w:val="en-US" w:eastAsia="zh-CN"/>
        </w:rPr>
      </w:pPr>
    </w:p>
    <w:p>
      <w:pPr>
        <w:pStyle w:val="4"/>
        <w:bidi w:val="0"/>
        <w:jc w:val="center"/>
        <w:rPr>
          <w:rFonts w:hint="eastAsia" w:ascii="黑体" w:hAnsi="黑体" w:eastAsia="黑体" w:cs="黑体"/>
          <w:lang w:val="en-US" w:eastAsia="zh-CN"/>
        </w:rPr>
      </w:pPr>
    </w:p>
    <w:p>
      <w:pPr>
        <w:pStyle w:val="4"/>
        <w:bidi w:val="0"/>
        <w:jc w:val="center"/>
        <w:rPr>
          <w:rFonts w:hint="eastAsia" w:ascii="黑体" w:hAnsi="黑体" w:eastAsia="黑体" w:cs="黑体"/>
          <w:lang w:val="en-US" w:eastAsia="zh-CN"/>
        </w:rPr>
      </w:pPr>
    </w:p>
    <w:p>
      <w:pPr>
        <w:pStyle w:val="4"/>
        <w:bidi w:val="0"/>
        <w:jc w:val="center"/>
        <w:rPr>
          <w:rFonts w:hint="eastAsia" w:asciiTheme="minorEastAsia" w:hAnsiTheme="minorEastAsia" w:eastAsiaTheme="minorEastAsia" w:cstheme="minorEastAsia"/>
          <w:sz w:val="44"/>
          <w:szCs w:val="44"/>
          <w:lang w:val="en-US" w:eastAsia="zh-CN"/>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heme="minorEastAsia" w:hAnsiTheme="minorEastAsia" w:eastAsiaTheme="minorEastAsia" w:cstheme="minorEastAsia"/>
          <w:sz w:val="44"/>
          <w:szCs w:val="4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000000" w:themeColor="text1"/>
                                <w:sz w:val="72"/>
                                <w:szCs w:val="7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style:none;z-index:251659264;mso-width-relative:page;mso-height-relative:page;" filled="f" stroked="f" coordsize="21600,21600" o:gfxdata="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45yS50QAAAAUBAAAPAAAAAAAAAAEAIAAAACIAAABkcnMvZG93bnJldi54bWxQ&#10;SwECFAAUAAAACACHTuJAus0p9TcCAABlBAAADgAAAAAAAAABACAAAAAgAQAAZHJzL2Uyb0RvYy54&#10;bWxQSwUGAAAAAAYABgBZAQAAyQUAAAAA&#10;">
                <v:fill on="f" focussize="0,0"/>
                <v:stroke on="f" weight="0.5pt"/>
                <v:imagedata o:title=""/>
                <o:lock v:ext="edit" aspectratio="f"/>
                <v:textbox style="mso-fit-shape-to-text:t;">
                  <w:txbxContent>
                    <w:p>
                      <w:pPr>
                        <w:rPr>
                          <w:rFonts w:hint="eastAsia" w:eastAsiaTheme="minorEastAsia"/>
                          <w:b/>
                          <w:bCs/>
                          <w:color w:val="000000" w:themeColor="text1"/>
                          <w:sz w:val="72"/>
                          <w:szCs w:val="7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bookmarkStart w:id="0" w:name="_Toc1850"/>
      <w:r>
        <w:rPr>
          <w:rFonts w:hint="eastAsia" w:asciiTheme="minorEastAsia" w:hAnsiTheme="minorEastAsia" w:eastAsiaTheme="minorEastAsia" w:cstheme="minorEastAsia"/>
          <w:sz w:val="44"/>
          <w:szCs w:val="44"/>
          <w:lang w:val="en-US" w:eastAsia="zh-CN"/>
        </w:rPr>
        <w:t>第二部分 验收</w:t>
      </w:r>
      <w:bookmarkEnd w:id="0"/>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bookmarkStart w:id="1" w:name="_Toc16237"/>
      <w:r>
        <w:rPr>
          <w:rFonts w:hint="eastAsia"/>
          <w:b/>
          <w:bCs/>
          <w:sz w:val="30"/>
          <w:szCs w:val="30"/>
        </w:rPr>
        <w:t>巢湖市共鑫渔具有限公司渔网、综丝生产项目</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color w:val="auto"/>
          <w:sz w:val="30"/>
          <w:szCs w:val="30"/>
        </w:rPr>
      </w:pPr>
      <w:r>
        <w:rPr>
          <w:rFonts w:hint="eastAsia"/>
          <w:b/>
          <w:bCs/>
          <w:color w:val="auto"/>
          <w:sz w:val="30"/>
          <w:szCs w:val="30"/>
        </w:rPr>
        <w:t>竣工环境保护验收监测报告及现场检查意见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2021年12月5日，依据国家有关环保法律法规、建设项目竣工环境保护验收技术规范、本项目环境影响报告表和市批部门市批批复等要求，巢湖市共鑫渔具有限公司在本公司主持召开了“渔网、综丝生产项目”竣工环境保护验收会议，会议邀请了3位行业专家。会议上专家们听取了监测报告编制单位（巢湖市亚庆环保科技有限责任公司东塘路分公司）关于项目建设、试运行情况和验收监测报告主要内容的汇报，审查了相关资料，现场检查了环保设施运行工况，形成审查意见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一、项目建设内容情况：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建设地点：位于巢湖市坝镇槐坝路2号。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建设性质：新建建设规模：年产综丝400t、渔网600t,环评设计与实际建设规模一致。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设内容：项目总建筑面积1600平方米，项目主要建设内容：厂房、车间、办公楼、食堂等，厂房内设有2条拉丝生产线，设备配置了挤出机2台，冷水箱2台，牵引机6台，烘箱2台（4节），废丝收卷机2台，锭收卷机2台，柔软剂配对机1台，项目建成后形成年产600吨渔网、400吨综丝的生产规模。配套建设废气、废水等治理设施，新建固废暂存场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企业于2021年9月委托安徽绿环环保科技有限公司编制《巢湖市共鑫渔具有限公司渔网、综丝生产项目环境影响报告表》，2021年10月19日取得了合肥市生态环境局的批复（环审字【2021】5060文）。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验收范围：整体验收。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二、项目变动情况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对该项目建设涉及情况与环境应影响报告表进行核实，参照环境保护部办公厅《关于印发环评管理中部分行业建设项目重大变动清单的通知》（环办[2015]52号）和《污染影响类建设项目重大变动清单（试行）》（环办环评涵）[2020]688号的规定和要求，经现场调查与建设单位核实，该项目企业名称/主体建设内容、生产能力、工艺流程等均与环评一致为了节约成本，创造良好的工作环境，提高工服务质量与生产能力食堂停用。该项目不存在重大变动，因此复合验收条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三、环保设施建设情况</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本项目运行过程中产生的废气来自于熔融制丝、烘箱运行过程产生的挥发性有机废气（非甲烷总烃）。</w:t>
      </w:r>
      <w:r>
        <w:rPr>
          <w:rFonts w:hint="eastAsia" w:ascii="宋体" w:hAnsi="宋体" w:eastAsia="宋体" w:cs="宋体"/>
          <w:color w:val="auto"/>
          <w:sz w:val="24"/>
          <w:szCs w:val="24"/>
        </w:rPr>
        <w:t>项目</w:t>
      </w:r>
      <w:r>
        <w:rPr>
          <w:rFonts w:hint="eastAsia" w:ascii="宋体" w:hAnsi="宋体" w:eastAsia="宋体" w:cs="宋体"/>
          <w:color w:val="auto"/>
          <w:sz w:val="24"/>
          <w:szCs w:val="24"/>
          <w:lang w:val="en-US" w:eastAsia="zh-CN"/>
        </w:rPr>
        <w:t>熔融制丝工序采用集气罩收集+二级活性炭吸附，由不低于15米高的排气筒（DA001）排放（内径0.3m），对周围环境影响较小。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烘干工序产生的废气无组织排放。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废水</w:t>
      </w:r>
    </w:p>
    <w:p>
      <w:pPr>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本项目用水工序主要有</w:t>
      </w:r>
      <w:r>
        <w:rPr>
          <w:rFonts w:hint="eastAsia" w:ascii="宋体" w:hAnsi="宋体" w:eastAsia="宋体" w:cs="宋体"/>
          <w:color w:val="auto"/>
          <w:sz w:val="24"/>
          <w:szCs w:val="24"/>
          <w:u w:val="none"/>
          <w:lang w:val="en-US" w:eastAsia="zh-CN"/>
        </w:rPr>
        <w:t>拉丝水浴用水、蒸气炉用水、柔软剂配置用水和</w:t>
      </w:r>
      <w:r>
        <w:rPr>
          <w:rFonts w:hint="eastAsia" w:ascii="宋体" w:hAnsi="宋体" w:eastAsia="宋体" w:cs="宋体"/>
          <w:color w:val="auto"/>
          <w:sz w:val="24"/>
          <w:szCs w:val="24"/>
          <w:u w:val="none"/>
        </w:rPr>
        <w:t>职工生活用水。</w:t>
      </w:r>
      <w:r>
        <w:rPr>
          <w:rFonts w:hint="eastAsia" w:ascii="宋体" w:hAnsi="宋体" w:eastAsia="宋体" w:cs="宋体"/>
          <w:color w:val="auto"/>
          <w:sz w:val="24"/>
          <w:szCs w:val="24"/>
          <w:u w:val="none"/>
          <w:lang w:val="en-US" w:eastAsia="zh-CN"/>
        </w:rPr>
        <w:t>生产用水（拉丝水浴用水、蒸气炉用水、柔软剂配置用水）循环使用，</w:t>
      </w:r>
      <w:r>
        <w:rPr>
          <w:rFonts w:hint="eastAsia" w:ascii="宋体" w:hAnsi="宋体" w:eastAsia="宋体" w:cs="宋体"/>
          <w:color w:val="auto"/>
          <w:sz w:val="24"/>
          <w:szCs w:val="24"/>
          <w:u w:val="none"/>
        </w:rPr>
        <w:t>生活污水经化粪池</w:t>
      </w:r>
      <w:r>
        <w:rPr>
          <w:rFonts w:hint="eastAsia" w:ascii="宋体" w:hAnsi="宋体" w:eastAsia="宋体" w:cs="宋体"/>
          <w:color w:val="auto"/>
          <w:sz w:val="24"/>
          <w:szCs w:val="24"/>
          <w:u w:val="none"/>
          <w:lang w:val="en-US" w:eastAsia="zh-CN"/>
        </w:rPr>
        <w:t>预</w:t>
      </w:r>
      <w:r>
        <w:rPr>
          <w:rFonts w:hint="eastAsia" w:ascii="宋体" w:hAnsi="宋体" w:eastAsia="宋体" w:cs="宋体"/>
          <w:color w:val="auto"/>
          <w:sz w:val="24"/>
          <w:szCs w:val="24"/>
          <w:u w:val="none"/>
        </w:rPr>
        <w:t>处理</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汇入厂区污水总排口</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接入</w:t>
      </w:r>
      <w:r>
        <w:rPr>
          <w:rFonts w:hint="eastAsia" w:ascii="宋体" w:hAnsi="宋体" w:eastAsia="宋体" w:cs="宋体"/>
          <w:color w:val="auto"/>
          <w:sz w:val="24"/>
          <w:szCs w:val="24"/>
          <w:u w:val="none"/>
          <w:lang w:val="en-US" w:eastAsia="zh-CN"/>
        </w:rPr>
        <w:t>园区</w:t>
      </w:r>
      <w:r>
        <w:rPr>
          <w:rFonts w:hint="eastAsia" w:ascii="宋体" w:hAnsi="宋体" w:eastAsia="宋体" w:cs="宋体"/>
          <w:color w:val="auto"/>
          <w:sz w:val="24"/>
          <w:szCs w:val="24"/>
          <w:u w:val="none"/>
        </w:rPr>
        <w:t>污水管网</w:t>
      </w:r>
      <w:r>
        <w:rPr>
          <w:rFonts w:hint="eastAsia" w:ascii="宋体" w:hAnsi="宋体" w:eastAsia="宋体" w:cs="宋体"/>
          <w:color w:val="auto"/>
          <w:sz w:val="24"/>
          <w:szCs w:val="24"/>
          <w:u w:val="none"/>
          <w:lang w:val="en-US" w:eastAsia="zh-CN"/>
        </w:rPr>
        <w:t>由坝镇污水处理厂处理</w:t>
      </w:r>
      <w:r>
        <w:rPr>
          <w:rFonts w:hint="eastAsia" w:ascii="宋体" w:hAnsi="宋体" w:eastAsia="宋体" w:cs="宋体"/>
          <w:color w:val="auto"/>
          <w:sz w:val="24"/>
          <w:szCs w:val="24"/>
          <w:u w:val="none"/>
        </w:rPr>
        <w:t>达标后排入</w:t>
      </w:r>
      <w:r>
        <w:rPr>
          <w:rFonts w:hint="eastAsia" w:ascii="宋体" w:hAnsi="宋体" w:eastAsia="宋体" w:cs="宋体"/>
          <w:color w:val="auto"/>
          <w:sz w:val="24"/>
          <w:szCs w:val="24"/>
          <w:u w:val="none"/>
          <w:lang w:val="en-US" w:eastAsia="zh-CN"/>
        </w:rPr>
        <w:t>老湖河</w:t>
      </w:r>
      <w:r>
        <w:rPr>
          <w:rFonts w:hint="eastAsia" w:ascii="宋体" w:hAnsi="宋体" w:eastAsia="宋体" w:cs="宋体"/>
          <w:color w:val="auto"/>
          <w:sz w:val="24"/>
          <w:szCs w:val="24"/>
          <w:u w:val="none"/>
        </w:rPr>
        <w:t>。</w:t>
      </w:r>
    </w:p>
    <w:p>
      <w:pPr>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sz w:val="24"/>
          <w:szCs w:val="24"/>
          <w:lang w:val="en-US" w:eastAsia="zh-CN"/>
        </w:rPr>
      </w:pPr>
      <w:r>
        <w:rPr>
          <w:rFonts w:hint="eastAsia" w:ascii="宋体" w:hAnsi="宋体" w:eastAsia="宋体" w:cs="宋体"/>
          <w:color w:val="auto"/>
          <w:sz w:val="24"/>
          <w:szCs w:val="24"/>
          <w:lang w:val="en-US" w:eastAsia="zh-CN"/>
        </w:rPr>
        <w:t>项目建成后排放的厂界噪声满足《工业企业厂界环境噪声排放标准》（GB12348-2008)中2类区标准。因此，本项目环境噪声对周边环境影响较小。</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固废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本项目产生的固体废物包括有一般工业固废、</w:t>
      </w:r>
      <w:r>
        <w:rPr>
          <w:rFonts w:hint="eastAsia" w:ascii="宋体" w:hAnsi="宋体" w:eastAsia="宋体" w:cs="宋体"/>
          <w:color w:val="auto"/>
          <w:sz w:val="24"/>
          <w:szCs w:val="24"/>
          <w:lang w:val="en-US" w:eastAsia="zh-CN"/>
        </w:rPr>
        <w:t>危险废物、</w:t>
      </w:r>
      <w:r>
        <w:rPr>
          <w:rFonts w:hint="eastAsia" w:ascii="宋体" w:hAnsi="宋体" w:eastAsia="宋体" w:cs="宋体"/>
          <w:color w:val="auto"/>
          <w:sz w:val="24"/>
          <w:szCs w:val="24"/>
        </w:rPr>
        <w:t>生活垃圾。</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①一般工业固废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项目生产过程中，</w:t>
      </w:r>
      <w:r>
        <w:rPr>
          <w:rFonts w:hint="eastAsia" w:ascii="宋体" w:hAnsi="宋体" w:eastAsia="宋体" w:cs="宋体"/>
          <w:color w:val="auto"/>
          <w:sz w:val="24"/>
          <w:szCs w:val="24"/>
          <w:lang w:val="en-US" w:eastAsia="zh-CN"/>
        </w:rPr>
        <w:t>投料搅拌工序原材料尼龙6切片的废包装物，废包装物的产量约0.2t/a，本工序废包装物厂区综合利用；熔融制丝</w:t>
      </w:r>
      <w:r>
        <w:rPr>
          <w:rFonts w:hint="eastAsia" w:ascii="宋体" w:hAnsi="宋体" w:eastAsia="宋体" w:cs="宋体"/>
          <w:color w:val="auto"/>
          <w:sz w:val="24"/>
          <w:szCs w:val="24"/>
        </w:rPr>
        <w:t>工序</w:t>
      </w:r>
      <w:r>
        <w:rPr>
          <w:rFonts w:hint="eastAsia" w:ascii="宋体" w:hAnsi="宋体" w:eastAsia="宋体" w:cs="宋体"/>
          <w:color w:val="auto"/>
          <w:sz w:val="24"/>
          <w:szCs w:val="24"/>
          <w:lang w:val="en-US" w:eastAsia="zh-CN"/>
        </w:rPr>
        <w:t>运行过程中</w:t>
      </w:r>
      <w:r>
        <w:rPr>
          <w:rFonts w:hint="eastAsia" w:ascii="宋体" w:hAnsi="宋体" w:eastAsia="宋体" w:cs="宋体"/>
          <w:color w:val="auto"/>
          <w:sz w:val="24"/>
          <w:szCs w:val="24"/>
        </w:rPr>
        <w:t>中会产生一定量的</w:t>
      </w:r>
      <w:r>
        <w:rPr>
          <w:rFonts w:hint="eastAsia" w:ascii="宋体" w:hAnsi="宋体" w:eastAsia="宋体" w:cs="宋体"/>
          <w:color w:val="auto"/>
          <w:sz w:val="24"/>
          <w:szCs w:val="24"/>
          <w:lang w:val="en-US" w:eastAsia="zh-CN"/>
        </w:rPr>
        <w:t>不合格残次品</w:t>
      </w:r>
      <w:r>
        <w:rPr>
          <w:rFonts w:hint="eastAsia" w:ascii="宋体" w:hAnsi="宋体" w:eastAsia="宋体" w:cs="宋体"/>
          <w:color w:val="auto"/>
          <w:sz w:val="24"/>
          <w:szCs w:val="24"/>
        </w:rPr>
        <w:t>产生量约</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t/a；</w:t>
      </w:r>
      <w:r>
        <w:rPr>
          <w:rFonts w:hint="eastAsia" w:ascii="宋体" w:hAnsi="宋体" w:eastAsia="宋体" w:cs="宋体"/>
          <w:color w:val="auto"/>
          <w:sz w:val="24"/>
          <w:szCs w:val="24"/>
          <w:lang w:val="en-US" w:eastAsia="zh-CN"/>
        </w:rPr>
        <w:t>投料搅拌过程中产生的流动改性剂和柔软剂的废包装物，废包装物的产量约0.06t</w:t>
      </w:r>
      <w:r>
        <w:rPr>
          <w:rFonts w:hint="eastAsia" w:ascii="宋体" w:hAnsi="宋体" w:eastAsia="宋体" w:cs="宋体"/>
          <w:color w:val="auto"/>
          <w:sz w:val="24"/>
          <w:szCs w:val="24"/>
        </w:rPr>
        <w:t>/a</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固废经收集后定期外售。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②危险废物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根据企业提供资料，本项目产生的危险废物为维修</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保养</w:t>
      </w:r>
      <w:r>
        <w:rPr>
          <w:rFonts w:hint="eastAsia" w:ascii="宋体" w:hAnsi="宋体" w:eastAsia="宋体" w:cs="宋体"/>
          <w:color w:val="auto"/>
          <w:sz w:val="24"/>
          <w:szCs w:val="24"/>
        </w:rPr>
        <w:t>过程中会产生少量的废含油</w:t>
      </w:r>
      <w:r>
        <w:rPr>
          <w:rFonts w:hint="eastAsia" w:ascii="宋体" w:hAnsi="宋体" w:eastAsia="宋体" w:cs="宋体"/>
          <w:color w:val="auto"/>
          <w:sz w:val="24"/>
          <w:szCs w:val="24"/>
          <w:lang w:val="en-US" w:eastAsia="zh-CN"/>
        </w:rPr>
        <w:t>（润滑油）</w:t>
      </w:r>
      <w:r>
        <w:rPr>
          <w:rFonts w:hint="eastAsia" w:ascii="宋体" w:hAnsi="宋体" w:eastAsia="宋体" w:cs="宋体"/>
          <w:color w:val="auto"/>
          <w:sz w:val="24"/>
          <w:szCs w:val="24"/>
        </w:rPr>
        <w:t>抹布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其中废含油抹布产生量约为</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kg/a，根据《国家危险废物名录》（20</w:t>
      </w: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rPr>
        <w:t>版）后面的危险废物豁免管理清单里面，900-041-49 这里“废弃的含油抹布、劳保用品混入生活垃圾，全过程不按危险废物管理”，由环卫部门统一收集处置</w:t>
      </w:r>
      <w:r>
        <w:rPr>
          <w:rFonts w:hint="eastAsia" w:ascii="宋体" w:hAnsi="宋体" w:eastAsia="宋体" w:cs="宋体"/>
          <w:color w:val="auto"/>
          <w:sz w:val="24"/>
          <w:szCs w:val="24"/>
          <w:lang w:val="en-US" w:eastAsia="zh-CN"/>
        </w:rPr>
        <w:t>。废活性炭（废气处理设施）年产生量0.02t/a，委托有资质单位处置。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③生活垃圾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本项目员工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 人，按每人每天产生生活垃圾 0.5kg/人·天计算，本项目生活垃圾产生量为</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0kg/d，</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t/a，厂区内设置垃圾桶暂存设施，生活垃圾集中收集后由环卫部门统一清运，能够符合环境卫生管理要求，不对外环境产生影响。</w:t>
      </w:r>
    </w:p>
    <w:p>
      <w:pPr>
        <w:pStyle w:val="8"/>
        <w:numPr>
          <w:ilvl w:val="0"/>
          <w:numId w:val="2"/>
        </w:num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环境保护设施调试效果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根据《建设项目竣工环境保护验收技术指南  污染影响类》关于建设项目环境保护设施竣工验收监测的要求，验收监测应当在确保主体工程工矿稳定。环境保护设施运行正常的情况下进行，如实记录检测时的实际工况以及决定或影响工况的关键参数，如实记录能够反映环境保护设施运行状态的主要指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验收监测期间生产工况记录：验收监测期间生产工况处于稳定运行。达到设计生产能力的87%以上，在工况稳定的条件下监测，各项污染治理设施运行正常。</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验收结论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vertAlign w:val="baseline"/>
          <w:lang w:val="en-US" w:eastAsia="zh-CN"/>
        </w:rPr>
        <w:t>巢湖市共鑫渔具有限公司根据验收检测结果，结合现场勘察情况，本次验收的工程环保设施基本按照环评文件及批复要求进行建设，环保保护审查、审批手续完善，验收监测期间有组织废气、无组织废气排放浓度、噪声排放均能满相关标准要求，生活垃圾、危险废物均能得到妥善处置，项目从环保角度能够满足国家建设项目环境保护竣工验收要求，</w:t>
      </w:r>
      <w:r>
        <w:rPr>
          <w:rFonts w:hint="eastAsia" w:ascii="宋体" w:hAnsi="宋体" w:eastAsia="宋体" w:cs="宋体"/>
          <w:color w:val="auto"/>
          <w:sz w:val="24"/>
          <w:szCs w:val="24"/>
          <w:lang w:val="en-US" w:eastAsia="zh-CN"/>
        </w:rPr>
        <w:t>因此项目竣工环境保护验收合格。</w:t>
      </w:r>
    </w:p>
    <w:p>
      <w:pPr>
        <w:pStyle w:val="8"/>
        <w:numPr>
          <w:ilvl w:val="0"/>
          <w:numId w:val="2"/>
        </w:numPr>
        <w:ind w:left="0" w:leftChars="0"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验收检测结果</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rPr>
        <w:t>①</w:t>
      </w:r>
      <w:r>
        <w:rPr>
          <w:rFonts w:hint="eastAsia" w:ascii="宋体" w:hAnsi="宋体" w:eastAsia="宋体" w:cs="宋体"/>
          <w:b/>
          <w:bCs/>
          <w:color w:val="auto"/>
          <w:sz w:val="24"/>
          <w:szCs w:val="24"/>
          <w:lang w:val="en-US" w:eastAsia="zh-CN"/>
        </w:rPr>
        <w:t>废气</w:t>
      </w:r>
      <w:bookmarkStart w:id="2" w:name="_GoBack"/>
      <w:bookmarkEnd w:id="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本项目运行过程中产生的废气来自于熔融制丝、烘箱运行过程产生的挥发性有机废气（非甲烷总烃）。本项目熔融制丝工序采用集气罩收集+二级活性炭吸附，由不低于15米高的排气筒（DA001）排放（内径0.3m）。</w:t>
      </w:r>
    </w:p>
    <w:p>
      <w:pPr>
        <w:pStyle w:val="2"/>
        <w:keepNext w:val="0"/>
        <w:keepLines w:val="0"/>
        <w:pageBreakBefore w:val="0"/>
        <w:widowControl w:val="0"/>
        <w:numPr>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烘干工序产生的废气无组织排放。</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②废水</w:t>
      </w:r>
    </w:p>
    <w:p>
      <w:pPr>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本项目用水工序主要有</w:t>
      </w:r>
      <w:r>
        <w:rPr>
          <w:rFonts w:hint="eastAsia" w:ascii="宋体" w:hAnsi="宋体" w:eastAsia="宋体" w:cs="宋体"/>
          <w:color w:val="auto"/>
          <w:sz w:val="24"/>
          <w:szCs w:val="24"/>
          <w:u w:val="none"/>
          <w:lang w:val="en-US" w:eastAsia="zh-CN"/>
        </w:rPr>
        <w:t>拉丝水浴用水、蒸气炉用水、柔软剂配置用水和</w:t>
      </w:r>
      <w:r>
        <w:rPr>
          <w:rFonts w:hint="eastAsia" w:ascii="宋体" w:hAnsi="宋体" w:eastAsia="宋体" w:cs="宋体"/>
          <w:color w:val="auto"/>
          <w:sz w:val="24"/>
          <w:szCs w:val="24"/>
          <w:u w:val="none"/>
        </w:rPr>
        <w:t>职工生活用水。</w:t>
      </w:r>
      <w:r>
        <w:rPr>
          <w:rFonts w:hint="eastAsia" w:ascii="宋体" w:hAnsi="宋体" w:eastAsia="宋体" w:cs="宋体"/>
          <w:color w:val="auto"/>
          <w:sz w:val="24"/>
          <w:szCs w:val="24"/>
          <w:u w:val="none"/>
          <w:lang w:val="en-US" w:eastAsia="zh-CN"/>
        </w:rPr>
        <w:t>生产用水（拉丝水浴用水、蒸气炉用水、柔软剂配置用水）循环使用，</w:t>
      </w:r>
      <w:r>
        <w:rPr>
          <w:rFonts w:hint="eastAsia" w:ascii="宋体" w:hAnsi="宋体" w:eastAsia="宋体" w:cs="宋体"/>
          <w:color w:val="auto"/>
          <w:sz w:val="24"/>
          <w:szCs w:val="24"/>
          <w:u w:val="none"/>
        </w:rPr>
        <w:t>生活污水经化粪池</w:t>
      </w:r>
      <w:r>
        <w:rPr>
          <w:rFonts w:hint="eastAsia" w:ascii="宋体" w:hAnsi="宋体" w:eastAsia="宋体" w:cs="宋体"/>
          <w:color w:val="auto"/>
          <w:sz w:val="24"/>
          <w:szCs w:val="24"/>
          <w:u w:val="none"/>
          <w:lang w:val="en-US" w:eastAsia="zh-CN"/>
        </w:rPr>
        <w:t>预</w:t>
      </w:r>
      <w:r>
        <w:rPr>
          <w:rFonts w:hint="eastAsia" w:ascii="宋体" w:hAnsi="宋体" w:eastAsia="宋体" w:cs="宋体"/>
          <w:color w:val="auto"/>
          <w:sz w:val="24"/>
          <w:szCs w:val="24"/>
          <w:u w:val="none"/>
        </w:rPr>
        <w:t>处理</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汇入厂区污水总排口</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接入</w:t>
      </w:r>
      <w:r>
        <w:rPr>
          <w:rFonts w:hint="eastAsia" w:ascii="宋体" w:hAnsi="宋体" w:eastAsia="宋体" w:cs="宋体"/>
          <w:color w:val="auto"/>
          <w:sz w:val="24"/>
          <w:szCs w:val="24"/>
          <w:u w:val="none"/>
          <w:lang w:val="en-US" w:eastAsia="zh-CN"/>
        </w:rPr>
        <w:t>园区</w:t>
      </w:r>
      <w:r>
        <w:rPr>
          <w:rFonts w:hint="eastAsia" w:ascii="宋体" w:hAnsi="宋体" w:eastAsia="宋体" w:cs="宋体"/>
          <w:color w:val="auto"/>
          <w:sz w:val="24"/>
          <w:szCs w:val="24"/>
          <w:u w:val="none"/>
        </w:rPr>
        <w:t>污水管网</w:t>
      </w:r>
      <w:r>
        <w:rPr>
          <w:rFonts w:hint="eastAsia" w:ascii="宋体" w:hAnsi="宋体" w:eastAsia="宋体" w:cs="宋体"/>
          <w:color w:val="auto"/>
          <w:sz w:val="24"/>
          <w:szCs w:val="24"/>
          <w:u w:val="none"/>
          <w:lang w:val="en-US" w:eastAsia="zh-CN"/>
        </w:rPr>
        <w:t>由坝镇污水处理厂处理</w:t>
      </w:r>
      <w:r>
        <w:rPr>
          <w:rFonts w:hint="eastAsia" w:ascii="宋体" w:hAnsi="宋体" w:eastAsia="宋体" w:cs="宋体"/>
          <w:color w:val="auto"/>
          <w:sz w:val="24"/>
          <w:szCs w:val="24"/>
          <w:u w:val="none"/>
        </w:rPr>
        <w:t>达标后排入</w:t>
      </w:r>
      <w:r>
        <w:rPr>
          <w:rFonts w:hint="eastAsia" w:ascii="宋体" w:hAnsi="宋体" w:eastAsia="宋体" w:cs="宋体"/>
          <w:color w:val="auto"/>
          <w:sz w:val="24"/>
          <w:szCs w:val="24"/>
          <w:u w:val="none"/>
          <w:lang w:val="en-US" w:eastAsia="zh-CN"/>
        </w:rPr>
        <w:t>老湖河</w:t>
      </w:r>
      <w:r>
        <w:rPr>
          <w:rFonts w:hint="eastAsia" w:ascii="宋体" w:hAnsi="宋体" w:eastAsia="宋体" w:cs="宋体"/>
          <w:color w:val="auto"/>
          <w:sz w:val="24"/>
          <w:szCs w:val="24"/>
          <w:u w:val="none"/>
        </w:rPr>
        <w:t>。</w:t>
      </w:r>
    </w:p>
    <w:p>
      <w:pPr>
        <w:keepNext w:val="0"/>
        <w:keepLines w:val="0"/>
        <w:pageBreakBefore w:val="0"/>
        <w:widowControl w:val="0"/>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③噪声</w:t>
      </w:r>
    </w:p>
    <w:p>
      <w:pPr>
        <w:pStyle w:val="2"/>
        <w:keepNext w:val="0"/>
        <w:keepLines w:val="0"/>
        <w:pageBreakBefore w:val="0"/>
        <w:widowControl w:val="0"/>
        <w:numPr>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本项目排放的厂界噪声满足《工业企业厂界环境噪声排放标准》（GB12348-2008)中2类区标准。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验收结论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vertAlign w:val="baseline"/>
          <w:lang w:val="en-US" w:eastAsia="zh-CN"/>
        </w:rPr>
        <w:t>巢湖市共鑫渔具有限公根据验收检测结果，结合现场勘察情况，本次验收的工程环保设施基本按照环评文件及批复要求进行建设，环保保护审查、审批手续完善，验收监测期间有组织废气、无组织废气排放浓度、噪声排放均能满相关标准要求，生活垃圾均能得到妥善处置。危险废物废活性炭，目前废气收集设施完善，使用时间没有达到更换时间，但本公司承诺危险废物废活性炭，按环评要求规范处置。从环保角度能够满足国家建设项目环境保护竣工验收要求，</w:t>
      </w:r>
      <w:r>
        <w:rPr>
          <w:rFonts w:hint="eastAsia" w:ascii="宋体" w:hAnsi="宋体" w:eastAsia="宋体" w:cs="宋体"/>
          <w:color w:val="auto"/>
          <w:sz w:val="24"/>
          <w:szCs w:val="24"/>
          <w:lang w:val="en-US" w:eastAsia="zh-CN"/>
        </w:rPr>
        <w:t>因此项目竣工环境保护验收合格。</w:t>
      </w:r>
    </w:p>
    <w:p>
      <w:pPr>
        <w:pStyle w:val="8"/>
        <w:numPr>
          <w:ilvl w:val="0"/>
          <w:numId w:val="2"/>
        </w:numPr>
        <w:ind w:left="0" w:leftChars="0"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公司承诺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加强各项污染治理设施日常管理，保障环保设施正常稳定运行确保各项污染物做到稳定达标排放。</w:t>
      </w:r>
    </w:p>
    <w:p>
      <w:pPr>
        <w:pStyle w:val="8"/>
        <w:rPr>
          <w:rFonts w:hint="eastAsia" w:ascii="宋体" w:hAnsi="宋体" w:eastAsia="宋体" w:cs="宋体"/>
          <w:color w:val="auto"/>
          <w:sz w:val="24"/>
          <w:szCs w:val="24"/>
          <w:lang w:val="en-US" w:eastAsia="zh-CN"/>
        </w:rPr>
      </w:pPr>
    </w:p>
    <w:p>
      <w:pPr>
        <w:rPr>
          <w:rFonts w:hint="eastAsia" w:ascii="宋体" w:hAnsi="宋体" w:eastAsia="宋体" w:cs="宋体"/>
          <w:color w:val="auto"/>
          <w:sz w:val="24"/>
          <w:szCs w:val="24"/>
          <w:lang w:val="en-US" w:eastAsia="zh-CN"/>
        </w:rPr>
      </w:pPr>
    </w:p>
    <w:p>
      <w:pPr>
        <w:pStyle w:val="8"/>
        <w:rPr>
          <w:rFonts w:hint="eastAsia" w:ascii="宋体" w:hAnsi="宋体" w:eastAsia="宋体" w:cs="宋体"/>
          <w:color w:val="auto"/>
          <w:sz w:val="24"/>
          <w:szCs w:val="24"/>
          <w:lang w:val="en-US" w:eastAsia="zh-CN"/>
        </w:rPr>
      </w:pPr>
    </w:p>
    <w:p>
      <w:pPr>
        <w:rPr>
          <w:rFonts w:hint="eastAsia" w:ascii="宋体" w:hAnsi="宋体" w:eastAsia="宋体" w:cs="宋体"/>
          <w:color w:val="auto"/>
          <w:sz w:val="24"/>
          <w:szCs w:val="24"/>
          <w:lang w:val="en-US" w:eastAsia="zh-CN"/>
        </w:rPr>
      </w:pPr>
    </w:p>
    <w:p>
      <w:pPr>
        <w:pStyle w:val="8"/>
        <w:jc w:val="righ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巢湖共鑫渔具有限公司</w:t>
      </w:r>
    </w:p>
    <w:p>
      <w:pPr>
        <w:rPr>
          <w:rFonts w:hint="eastAsia" w:ascii="宋体" w:hAnsi="宋体" w:eastAsia="宋体" w:cs="宋体"/>
          <w:color w:val="auto"/>
          <w:sz w:val="24"/>
          <w:szCs w:val="24"/>
          <w:lang w:val="en-US" w:eastAsia="zh-CN"/>
        </w:rPr>
      </w:pPr>
    </w:p>
    <w:p>
      <w:pPr>
        <w:pStyle w:val="8"/>
        <w:rPr>
          <w:rFonts w:hint="default"/>
          <w:color w:val="auto"/>
          <w:lang w:val="en-US" w:eastAsia="zh-CN"/>
        </w:rPr>
        <w:sectPr>
          <w:headerReference r:id="rId5"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4"/>
          <w:szCs w:val="24"/>
          <w:lang w:val="en-US" w:eastAsia="zh-CN"/>
        </w:rPr>
        <w:t xml:space="preserve">                                                   2021年12月16日</w:t>
      </w:r>
    </w:p>
    <w:p>
      <w:pPr>
        <w:rPr>
          <w:rFonts w:hint="eastAsia"/>
          <w:lang w:val="en-US" w:eastAsia="zh-CN"/>
        </w:rPr>
      </w:pPr>
    </w:p>
    <w:p>
      <w:pPr>
        <w:rPr>
          <w:rFonts w:hint="default"/>
          <w:lang w:val="en-US" w:eastAsia="zh-CN"/>
        </w:rPr>
      </w:pPr>
    </w:p>
    <w:p>
      <w:pPr>
        <w:pStyle w:val="5"/>
        <w:bidi w:val="0"/>
        <w:jc w:val="center"/>
        <w:rPr>
          <w:rFonts w:hint="eastAsia"/>
          <w:sz w:val="32"/>
          <w:szCs w:val="32"/>
          <w:lang w:val="en-US" w:eastAsia="zh-CN"/>
        </w:rPr>
      </w:pPr>
    </w:p>
    <w:p>
      <w:pPr>
        <w:pStyle w:val="5"/>
        <w:bidi w:val="0"/>
        <w:jc w:val="center"/>
        <w:rPr>
          <w:rFonts w:hint="eastAsia"/>
          <w:sz w:val="32"/>
          <w:szCs w:val="32"/>
          <w:lang w:val="en-US" w:eastAsia="zh-CN"/>
        </w:rPr>
      </w:pPr>
    </w:p>
    <w:p>
      <w:pPr>
        <w:pStyle w:val="5"/>
        <w:bidi w:val="0"/>
        <w:jc w:val="center"/>
        <w:rPr>
          <w:rFonts w:hint="eastAsia"/>
          <w:sz w:val="32"/>
          <w:szCs w:val="32"/>
          <w:lang w:val="en-US" w:eastAsia="zh-CN"/>
        </w:rPr>
      </w:pPr>
    </w:p>
    <w:bookmarkEnd w:id="1"/>
    <w:p>
      <w:pPr>
        <w:bidi w:val="0"/>
        <w:rPr>
          <w:rFonts w:hint="default"/>
          <w:lang w:val="en-US" w:eastAsia="zh-CN"/>
        </w:rPr>
      </w:pPr>
    </w:p>
    <w:p>
      <w:pPr>
        <w:bidi w:val="0"/>
        <w:rPr>
          <w:rFonts w:hint="default"/>
          <w:lang w:val="en-US" w:eastAsia="zh-CN"/>
        </w:rPr>
      </w:pPr>
    </w:p>
    <w:p>
      <w:pPr>
        <w:bidi w:val="0"/>
        <w:rPr>
          <w:rFonts w:hint="default"/>
          <w:lang w:val="en-US" w:eastAsia="zh-CN"/>
        </w:rPr>
      </w:pPr>
    </w:p>
    <w:p>
      <w:pPr>
        <w:tabs>
          <w:tab w:val="left" w:pos="4866"/>
        </w:tabs>
        <w:bidi w:val="0"/>
        <w:jc w:val="left"/>
        <w:rPr>
          <w:rFonts w:hint="eastAsia"/>
          <w:lang w:val="en-US" w:eastAsia="zh-CN"/>
        </w:rPr>
      </w:pPr>
      <w:r>
        <w:rPr>
          <w:rFonts w:hint="eastAsia"/>
          <w:lang w:val="en-US" w:eastAsia="zh-CN"/>
        </w:rPr>
        <w:tab/>
      </w:r>
    </w:p>
    <w:p>
      <w:pPr>
        <w:tabs>
          <w:tab w:val="left" w:pos="2301"/>
        </w:tabs>
        <w:bidi w:val="0"/>
        <w:jc w:val="center"/>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dotted" w:color="auto" w:sz="4" w:space="1"/>
      </w:pBdr>
      <w:jc w:val="center"/>
      <w:rPr>
        <w:rFonts w:hint="default" w:eastAsiaTheme="minorEastAsia"/>
        <w:lang w:val="en-US" w:eastAsia="zh-CN"/>
      </w:rPr>
    </w:pPr>
    <w:r>
      <w:rPr>
        <w:rFonts w:hint="eastAsia"/>
        <w:lang w:val="en-US" w:eastAsia="zh-CN"/>
      </w:rPr>
      <w:t>巢湖市海风门窗有限公司欧式隔音节能门窗技术改造项目竣工环境保护验收监测报告</w:t>
    </w:r>
  </w:p>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221782"/>
    <w:multiLevelType w:val="singleLevel"/>
    <w:tmpl w:val="A3221782"/>
    <w:lvl w:ilvl="0" w:tentative="0">
      <w:start w:val="4"/>
      <w:numFmt w:val="chineseCounting"/>
      <w:suff w:val="nothing"/>
      <w:lvlText w:val="%1、"/>
      <w:lvlJc w:val="left"/>
      <w:rPr>
        <w:rFonts w:hint="eastAsia"/>
      </w:rPr>
    </w:lvl>
  </w:abstractNum>
  <w:abstractNum w:abstractNumId="1">
    <w:nsid w:val="7CC4221D"/>
    <w:multiLevelType w:val="singleLevel"/>
    <w:tmpl w:val="7CC4221D"/>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0671"/>
    <w:rsid w:val="0AD37696"/>
    <w:rsid w:val="0AD829F3"/>
    <w:rsid w:val="0FE346DD"/>
    <w:rsid w:val="105B356C"/>
    <w:rsid w:val="15555B9D"/>
    <w:rsid w:val="17537BB8"/>
    <w:rsid w:val="23433840"/>
    <w:rsid w:val="239C26C9"/>
    <w:rsid w:val="277B29FC"/>
    <w:rsid w:val="2C241D7E"/>
    <w:rsid w:val="2FD76A27"/>
    <w:rsid w:val="34076B1F"/>
    <w:rsid w:val="34640527"/>
    <w:rsid w:val="346647A3"/>
    <w:rsid w:val="37B5632C"/>
    <w:rsid w:val="3C3E6A1E"/>
    <w:rsid w:val="4304417D"/>
    <w:rsid w:val="4F8F1D57"/>
    <w:rsid w:val="5E27052B"/>
    <w:rsid w:val="5F215D42"/>
    <w:rsid w:val="614C0F55"/>
    <w:rsid w:val="66A02364"/>
    <w:rsid w:val="68D84CF0"/>
    <w:rsid w:val="6B40715C"/>
    <w:rsid w:val="71DC5E2D"/>
    <w:rsid w:val="78E81581"/>
    <w:rsid w:val="7A8E3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basedOn w:val="3"/>
    <w:qFormat/>
    <w:uiPriority w:val="99"/>
    <w:pPr>
      <w:widowControl w:val="0"/>
      <w:autoSpaceDE w:val="0"/>
      <w:autoSpaceDN w:val="0"/>
      <w:adjustRightInd w:val="0"/>
    </w:pPr>
    <w:rPr>
      <w:rFonts w:ascii="宋体" w:cs="宋体"/>
      <w:color w:val="000000"/>
      <w:sz w:val="24"/>
      <w:szCs w:val="24"/>
      <w:lang w:val="en-US" w:eastAsia="zh-CN" w:bidi="ar-SA"/>
    </w:rPr>
  </w:style>
  <w:style w:type="paragraph" w:customStyle="1" w:styleId="3">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next w:val="1"/>
    <w:qFormat/>
    <w:uiPriority w:val="0"/>
    <w:pPr>
      <w:spacing w:after="120" w:line="480" w:lineRule="auto"/>
    </w:pPr>
  </w:style>
  <w:style w:type="table" w:styleId="10">
    <w:name w:val="Table Grid"/>
    <w:basedOn w:val="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正文 首行缩进:  2 字符"/>
    <w:basedOn w:val="1"/>
    <w:qFormat/>
    <w:uiPriority w:val="0"/>
    <w:pPr>
      <w:spacing w:line="360" w:lineRule="auto"/>
      <w:ind w:firstLine="1040" w:firstLineChars="200"/>
      <w:jc w:val="left"/>
    </w:pPr>
    <w:rPr>
      <w:rFonts w:ascii="Times New Roman" w:hAnsi="Times New Roman" w:cs="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2021-07-26T08:42:00Z</dcterms:created>
  <dc:creator>Administrator</dc:creator>
  <cp:lastModifiedBy>Administrator</cp:lastModifiedBy>
  <cp:lastPrinted>2021-11-25T00:17:00Z</cp:lastPrinted>
  <dcterms:modified xsi:type="dcterms:W3CDTF">2021-12-15T07:20:44Z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48D147AAE5F24AC0AB8EDDAD1EB156B5</vt:lpwstr>
  </property>
</Properties>
</file>