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val="en-US" w:eastAsia="zh-CN"/>
        </w:rPr>
      </w:pPr>
      <w:r>
        <w:rPr>
          <w:rFonts w:hint="eastAsia"/>
          <w:lang w:val="en-US" w:eastAsia="zh-CN"/>
        </w:rPr>
        <w:t xml:space="preserve">  </w:t>
      </w:r>
    </w:p>
    <w:p/>
    <w:p/>
    <w:p/>
    <w:p/>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eastAsia="zh-CN"/>
        </w:rPr>
      </w:pPr>
      <w:r>
        <w:rPr>
          <w:rFonts w:hint="default" w:ascii="Times New Roman" w:hAnsi="Times New Roman" w:cs="Times New Roman"/>
          <w:b/>
          <w:bCs/>
          <w:sz w:val="48"/>
          <w:szCs w:val="48"/>
          <w:lang w:eastAsia="zh-CN"/>
        </w:rPr>
        <w:t>安徽丰十味食品有限公司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r>
        <w:rPr>
          <w:rFonts w:hint="default" w:ascii="Times New Roman" w:hAnsi="Times New Roman" w:cs="Times New Roman"/>
          <w:b/>
          <w:bCs/>
          <w:sz w:val="48"/>
          <w:szCs w:val="48"/>
          <w:lang w:eastAsia="zh-CN"/>
        </w:rPr>
        <w:t>年产</w:t>
      </w:r>
      <w:r>
        <w:rPr>
          <w:rFonts w:hint="default" w:ascii="Times New Roman" w:hAnsi="Times New Roman" w:cs="Times New Roman"/>
          <w:b/>
          <w:bCs/>
          <w:sz w:val="48"/>
          <w:szCs w:val="48"/>
          <w:lang w:val="en-US" w:eastAsia="zh-CN"/>
        </w:rPr>
        <w:t>3000吨蛋挞半成品项目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b/>
          <w:bCs/>
          <w:sz w:val="48"/>
          <w:szCs w:val="48"/>
          <w:lang w:val="en-US" w:eastAsia="zh-CN"/>
        </w:rPr>
      </w:pPr>
      <w:r>
        <w:rPr>
          <w:rFonts w:hint="default" w:ascii="Times New Roman" w:hAnsi="Times New Roman" w:cs="Times New Roman"/>
          <w:b/>
          <w:bCs/>
          <w:sz w:val="48"/>
          <w:szCs w:val="48"/>
          <w:lang w:val="en-US" w:eastAsia="zh-CN"/>
        </w:rPr>
        <w:t>阶段性竣工环境保护验收监测报告</w:t>
      </w:r>
      <w:r>
        <w:rPr>
          <w:rFonts w:hint="eastAsia" w:ascii="Times New Roman" w:hAnsi="Times New Roman" w:cs="Times New Roman"/>
          <w:b/>
          <w:bCs/>
          <w:sz w:val="48"/>
          <w:szCs w:val="48"/>
          <w:lang w:val="en-US" w:eastAsia="zh-CN"/>
        </w:rPr>
        <w:t>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建设单位：安徽丰十味食品有限公司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编制日期：2021年7月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sectPr>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建设单位法人代表：许庆华</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r>
        <w:rPr>
          <w:rFonts w:hint="eastAsia" w:ascii="Times New Roman" w:hAnsi="Times New Roman" w:cs="Times New Roman"/>
          <w:b/>
          <w:bCs/>
          <w:sz w:val="32"/>
          <w:szCs w:val="32"/>
          <w:lang w:val="en-US" w:eastAsia="zh-CN"/>
        </w:rPr>
        <w:t>编制单位法人代表：游晓艳</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b/>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建设单位：安徽丰十味食品有限公司      编制单位：巢湖市亚庆环保科技有限公司东塘路分公司</w:t>
      </w: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电话：13365656359                     电话：0551-82601198</w:t>
      </w: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default"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传真：                                传真：</w:t>
      </w: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邮编：                                邮编：238000</w:t>
      </w: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地址：安徽居巢经济开发区              地址：巢湖市汇豪大厦</w:t>
      </w: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sectPr>
          <w:footerReference r:id="rId3" w:type="default"/>
          <w:pgSz w:w="11906" w:h="16838"/>
          <w:pgMar w:top="1440" w:right="1800" w:bottom="1440" w:left="1800" w:header="851" w:footer="992" w:gutter="0"/>
          <w:pgNumType w:start="1"/>
          <w:cols w:space="720" w:num="1"/>
          <w:docGrid w:type="lines" w:linePitch="312" w:charSpace="0"/>
        </w:sectPr>
      </w:pPr>
    </w:p>
    <w:p>
      <w:pPr>
        <w:pStyle w:val="21"/>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5622" w:hangingChars="2000"/>
        <w:jc w:val="both"/>
        <w:textAlignment w:val="auto"/>
        <w:rPr>
          <w:rFonts w:hint="eastAsia" w:ascii="Times New Roman" w:hAnsi="Times New Roman" w:cs="Times New Roman"/>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r>
        <w:rPr>
          <w:rFonts w:hint="eastAsia" w:ascii="Times New Roman" w:hAnsi="Times New Roman" w:cs="Times New Roman"/>
          <w:b/>
          <w:bCs/>
          <w:sz w:val="48"/>
          <w:szCs w:val="48"/>
          <w:lang w:val="en-US" w:eastAsia="zh-CN"/>
        </w:rPr>
        <w:t>第一部分</w:t>
      </w: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r>
        <w:rPr>
          <w:rFonts w:hint="eastAsia" w:ascii="Times New Roman" w:hAnsi="Times New Roman" w:cs="Times New Roman"/>
          <w:b/>
          <w:bCs/>
          <w:sz w:val="48"/>
          <w:szCs w:val="48"/>
          <w:lang w:val="en-US" w:eastAsia="zh-CN"/>
        </w:rPr>
        <w:t>验收监测报告表</w:t>
      </w: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5622" w:hanging="9638" w:hangingChars="2000"/>
        <w:jc w:val="center"/>
        <w:textAlignment w:val="auto"/>
        <w:rPr>
          <w:rFonts w:hint="eastAsia" w:ascii="Times New Roman" w:hAnsi="Times New Roman" w:cs="Times New Roman"/>
          <w:b/>
          <w:bCs/>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sz w:val="48"/>
          <w:szCs w:val="48"/>
          <w:lang w:val="en-US" w:eastAsia="zh-CN"/>
        </w:rPr>
      </w:pPr>
    </w:p>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outlineLvl w:val="9"/>
        <w:rPr>
          <w:rFonts w:hint="eastAsia"/>
          <w:sz w:val="28"/>
          <w:szCs w:val="28"/>
          <w:lang w:val="en-US" w:eastAsia="zh-CN"/>
        </w:rPr>
        <w:sectPr>
          <w:footerReference r:id="rId4" w:type="default"/>
          <w:pgSz w:w="11906" w:h="16838"/>
          <w:pgMar w:top="1440" w:right="1800" w:bottom="1440" w:left="1800" w:header="851" w:footer="992" w:gutter="0"/>
          <w:pgNumType w:start="1"/>
          <w:cols w:space="720" w:num="1"/>
          <w:docGrid w:type="lines" w:linePitch="312" w:charSpace="0"/>
        </w:sectPr>
      </w:pPr>
      <w:bookmarkStart w:id="0" w:name="_Toc7621"/>
      <w:bookmarkStart w:id="1" w:name="_Toc8029"/>
    </w:p>
    <w:p>
      <w:pPr>
        <w:spacing w:before="0" w:beforeLines="0" w:after="0" w:afterLines="0" w:line="240" w:lineRule="auto"/>
        <w:ind w:left="0" w:leftChars="0" w:right="0" w:rightChars="0" w:firstLine="0" w:firstLineChars="0"/>
        <w:jc w:val="center"/>
        <w:rPr>
          <w:b/>
          <w:bCs/>
          <w:sz w:val="28"/>
          <w:szCs w:val="28"/>
        </w:rPr>
      </w:pPr>
      <w:r>
        <w:rPr>
          <w:rFonts w:ascii="宋体" w:hAnsi="宋体" w:eastAsia="宋体"/>
          <w:b/>
          <w:bCs/>
          <w:sz w:val="28"/>
          <w:szCs w:val="28"/>
        </w:rPr>
        <w:t>目录</w:t>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r>
        <w:rPr>
          <w:rFonts w:hint="eastAsia"/>
          <w:szCs w:val="28"/>
          <w:lang w:val="en-US" w:eastAsia="zh-CN"/>
        </w:rPr>
        <w:fldChar w:fldCharType="begin"/>
      </w:r>
      <w:r>
        <w:rPr>
          <w:rFonts w:hint="eastAsia"/>
          <w:szCs w:val="28"/>
          <w:lang w:val="en-US" w:eastAsia="zh-CN"/>
        </w:rPr>
        <w:instrText xml:space="preserve"> HYPERLINK \l _Toc2825 </w:instrText>
      </w:r>
      <w:r>
        <w:rPr>
          <w:rFonts w:hint="eastAsia"/>
          <w:szCs w:val="28"/>
          <w:lang w:val="en-US" w:eastAsia="zh-CN"/>
        </w:rPr>
        <w:fldChar w:fldCharType="separate"/>
      </w:r>
      <w:r>
        <w:rPr>
          <w:rFonts w:hint="eastAsia"/>
          <w:szCs w:val="28"/>
          <w:lang w:val="en-US" w:eastAsia="zh-CN"/>
        </w:rPr>
        <w:t>表一  建设项目基本情况</w:t>
      </w:r>
      <w:r>
        <w:tab/>
      </w:r>
      <w:r>
        <w:fldChar w:fldCharType="begin"/>
      </w:r>
      <w:r>
        <w:instrText xml:space="preserve"> PAGEREF _Toc2825 \h </w:instrText>
      </w:r>
      <w:r>
        <w:fldChar w:fldCharType="separate"/>
      </w:r>
      <w:r>
        <w:t>1</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_Toc14438 </w:instrText>
      </w:r>
      <w:r>
        <w:rPr>
          <w:rFonts w:hint="eastAsia"/>
          <w:szCs w:val="28"/>
          <w:lang w:val="en-US" w:eastAsia="zh-CN"/>
        </w:rPr>
        <w:fldChar w:fldCharType="separate"/>
      </w:r>
      <w:r>
        <w:rPr>
          <w:rFonts w:hint="eastAsia" w:cs="Times New Roman"/>
          <w:szCs w:val="28"/>
          <w:lang w:val="en-US" w:eastAsia="zh-CN"/>
        </w:rPr>
        <w:t>表二  工程概况</w:t>
      </w:r>
      <w:r>
        <w:tab/>
      </w:r>
      <w:r>
        <w:fldChar w:fldCharType="begin"/>
      </w:r>
      <w:r>
        <w:instrText xml:space="preserve"> PAGEREF _Toc14438 \h </w:instrText>
      </w:r>
      <w:r>
        <w:fldChar w:fldCharType="separate"/>
      </w:r>
      <w:r>
        <w:t>4</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_Toc2131 </w:instrText>
      </w:r>
      <w:r>
        <w:rPr>
          <w:rFonts w:hint="eastAsia"/>
          <w:szCs w:val="28"/>
          <w:lang w:val="en-US" w:eastAsia="zh-CN"/>
        </w:rPr>
        <w:fldChar w:fldCharType="separate"/>
      </w:r>
      <w:r>
        <w:rPr>
          <w:rFonts w:hint="eastAsia" w:cs="Times New Roman"/>
          <w:szCs w:val="28"/>
          <w:lang w:val="en-US" w:eastAsia="zh-CN"/>
        </w:rPr>
        <w:t>表三  主要污染物及治理设施</w:t>
      </w:r>
      <w:r>
        <w:tab/>
      </w:r>
      <w:r>
        <w:fldChar w:fldCharType="begin"/>
      </w:r>
      <w:r>
        <w:instrText xml:space="preserve"> PAGEREF _Toc2131 \h </w:instrText>
      </w:r>
      <w:r>
        <w:fldChar w:fldCharType="separate"/>
      </w:r>
      <w:r>
        <w:t>9</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_Toc32428 </w:instrText>
      </w:r>
      <w:r>
        <w:rPr>
          <w:rFonts w:hint="eastAsia"/>
          <w:szCs w:val="28"/>
          <w:lang w:val="en-US" w:eastAsia="zh-CN"/>
        </w:rPr>
        <w:fldChar w:fldCharType="separate"/>
      </w:r>
      <w:r>
        <w:rPr>
          <w:rFonts w:hint="eastAsia" w:cs="Times New Roman"/>
          <w:szCs w:val="28"/>
          <w:lang w:val="en-US" w:eastAsia="zh-CN"/>
        </w:rPr>
        <w:t>表四  环境影响报告表主要结论及其审批部门审批决定</w:t>
      </w:r>
      <w:r>
        <w:tab/>
      </w:r>
      <w:r>
        <w:fldChar w:fldCharType="begin"/>
      </w:r>
      <w:r>
        <w:instrText xml:space="preserve"> PAGEREF _Toc32428 \h </w:instrText>
      </w:r>
      <w:r>
        <w:fldChar w:fldCharType="separate"/>
      </w:r>
      <w:r>
        <w:t>12</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_Toc24244 </w:instrText>
      </w:r>
      <w:r>
        <w:rPr>
          <w:rFonts w:hint="eastAsia"/>
          <w:szCs w:val="28"/>
          <w:lang w:val="en-US" w:eastAsia="zh-CN"/>
        </w:rPr>
        <w:fldChar w:fldCharType="separate"/>
      </w:r>
      <w:r>
        <w:rPr>
          <w:rFonts w:hint="eastAsia" w:cs="Times New Roman"/>
          <w:szCs w:val="28"/>
          <w:lang w:val="en-US" w:eastAsia="zh-CN"/>
        </w:rPr>
        <w:t>表五  验收监测质量保证及治理控制</w:t>
      </w:r>
      <w:r>
        <w:tab/>
      </w:r>
      <w:r>
        <w:fldChar w:fldCharType="begin"/>
      </w:r>
      <w:r>
        <w:instrText xml:space="preserve"> PAGEREF _Toc24244 \h </w:instrText>
      </w:r>
      <w:r>
        <w:fldChar w:fldCharType="separate"/>
      </w:r>
      <w:r>
        <w:t>1</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_Toc21776 </w:instrText>
      </w:r>
      <w:r>
        <w:rPr>
          <w:rFonts w:hint="eastAsia"/>
          <w:szCs w:val="28"/>
          <w:lang w:val="en-US" w:eastAsia="zh-CN"/>
        </w:rPr>
        <w:fldChar w:fldCharType="separate"/>
      </w:r>
      <w:r>
        <w:rPr>
          <w:rFonts w:hint="eastAsia" w:cs="Times New Roman"/>
          <w:szCs w:val="28"/>
          <w:lang w:val="en-US" w:eastAsia="zh-CN"/>
        </w:rPr>
        <w:t>表六  验收监测内容</w:t>
      </w:r>
      <w:r>
        <w:tab/>
      </w:r>
      <w:r>
        <w:fldChar w:fldCharType="begin"/>
      </w:r>
      <w:r>
        <w:instrText xml:space="preserve"> PAGEREF _Toc21776 \h </w:instrText>
      </w:r>
      <w:r>
        <w:fldChar w:fldCharType="separate"/>
      </w:r>
      <w:r>
        <w:t>2</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_Toc20369 </w:instrText>
      </w:r>
      <w:r>
        <w:rPr>
          <w:rFonts w:hint="eastAsia"/>
          <w:szCs w:val="28"/>
          <w:lang w:val="en-US" w:eastAsia="zh-CN"/>
        </w:rPr>
        <w:fldChar w:fldCharType="separate"/>
      </w:r>
      <w:r>
        <w:rPr>
          <w:rFonts w:hint="eastAsia" w:cs="Times New Roman"/>
          <w:szCs w:val="28"/>
          <w:lang w:val="en-US" w:eastAsia="zh-CN"/>
        </w:rPr>
        <w:t>表七  验收监测结果</w:t>
      </w:r>
      <w:r>
        <w:tab/>
      </w:r>
      <w:r>
        <w:fldChar w:fldCharType="begin"/>
      </w:r>
      <w:r>
        <w:instrText xml:space="preserve"> PAGEREF _Toc20369 \h </w:instrText>
      </w:r>
      <w:r>
        <w:fldChar w:fldCharType="separate"/>
      </w:r>
      <w:r>
        <w:t>3</w:t>
      </w:r>
      <w:r>
        <w:fldChar w:fldCharType="end"/>
      </w:r>
      <w:r>
        <w:rPr>
          <w:rFonts w:hint="eastAsia"/>
          <w:szCs w:val="28"/>
          <w:lang w:val="en-US" w:eastAsia="zh-CN"/>
        </w:rPr>
        <w:fldChar w:fldCharType="end"/>
      </w:r>
    </w:p>
    <w:p>
      <w:pPr>
        <w:pStyle w:val="25"/>
        <w:pageBreakBefore w:val="0"/>
        <w:tabs>
          <w:tab w:val="right" w:leader="dot" w:pos="8306"/>
        </w:tabs>
        <w:kinsoku/>
        <w:wordWrap/>
        <w:overflowPunct/>
        <w:topLinePunct w:val="0"/>
        <w:autoSpaceDE/>
        <w:autoSpaceDN/>
        <w:bidi w:val="0"/>
        <w:adjustRightInd/>
        <w:snapToGrid/>
        <w:spacing w:line="360" w:lineRule="auto"/>
        <w:textAlignment w:val="auto"/>
      </w:pPr>
      <w:r>
        <w:rPr>
          <w:rFonts w:hint="eastAsia"/>
          <w:szCs w:val="28"/>
          <w:lang w:val="en-US" w:eastAsia="zh-CN"/>
        </w:rPr>
        <w:fldChar w:fldCharType="begin"/>
      </w:r>
      <w:r>
        <w:rPr>
          <w:rFonts w:hint="eastAsia"/>
          <w:szCs w:val="28"/>
          <w:lang w:val="en-US" w:eastAsia="zh-CN"/>
        </w:rPr>
        <w:instrText xml:space="preserve"> HYPERLINK \l _Toc9343 </w:instrText>
      </w:r>
      <w:r>
        <w:rPr>
          <w:rFonts w:hint="eastAsia"/>
          <w:szCs w:val="28"/>
          <w:lang w:val="en-US" w:eastAsia="zh-CN"/>
        </w:rPr>
        <w:fldChar w:fldCharType="separate"/>
      </w:r>
      <w:r>
        <w:rPr>
          <w:rFonts w:hint="eastAsia" w:cs="Times New Roman"/>
          <w:szCs w:val="28"/>
          <w:lang w:val="en-US" w:eastAsia="zh-CN"/>
        </w:rPr>
        <w:t>表八  验收监测结论</w:t>
      </w:r>
      <w:r>
        <w:tab/>
      </w:r>
      <w:r>
        <w:fldChar w:fldCharType="begin"/>
      </w:r>
      <w:r>
        <w:instrText xml:space="preserve"> PAGEREF _Toc9343 \h </w:instrText>
      </w:r>
      <w:r>
        <w:fldChar w:fldCharType="separate"/>
      </w:r>
      <w:r>
        <w:t>6</w:t>
      </w:r>
      <w:r>
        <w:fldChar w:fldCharType="end"/>
      </w:r>
      <w:r>
        <w:rPr>
          <w:rFonts w:hint="eastAsia"/>
          <w:szCs w:val="28"/>
          <w:lang w:val="en-US" w:eastAsia="zh-CN"/>
        </w:rPr>
        <w:fldChar w:fldCharType="end"/>
      </w:r>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outlineLvl w:val="9"/>
        <w:rPr>
          <w:rFonts w:hint="eastAsia"/>
          <w:szCs w:val="28"/>
          <w:lang w:val="en-US" w:eastAsia="zh-CN"/>
        </w:rPr>
      </w:pPr>
      <w:r>
        <w:rPr>
          <w:rFonts w:hint="eastAsia"/>
          <w:szCs w:val="28"/>
          <w:lang w:val="en-US" w:eastAsia="zh-CN"/>
        </w:rPr>
        <w:fldChar w:fldCharType="end"/>
      </w:r>
    </w:p>
    <w:p>
      <w:pPr>
        <w:rPr>
          <w:rFonts w:hint="eastAsia"/>
          <w:szCs w:val="28"/>
          <w:lang w:val="en-US" w:eastAsia="zh-CN"/>
        </w:rPr>
      </w:pPr>
    </w:p>
    <w:p>
      <w:pPr>
        <w:rPr>
          <w:rFonts w:hint="eastAsia"/>
          <w:sz w:val="28"/>
          <w:szCs w:val="28"/>
          <w:lang w:eastAsia="zh-CN"/>
        </w:rPr>
      </w:pPr>
      <w:r>
        <w:rPr>
          <w:rFonts w:hint="eastAsia"/>
          <w:sz w:val="28"/>
          <w:szCs w:val="28"/>
          <w:lang w:eastAsia="zh-CN"/>
        </w:rPr>
        <w:t>附图：</w:t>
      </w:r>
    </w:p>
    <w:p>
      <w:pPr>
        <w:pStyle w:val="8"/>
        <w:rPr>
          <w:rFonts w:hint="eastAsia"/>
          <w:sz w:val="24"/>
          <w:szCs w:val="24"/>
          <w:lang w:val="en-US" w:eastAsia="zh-CN"/>
        </w:rPr>
      </w:pPr>
      <w:r>
        <w:rPr>
          <w:rFonts w:hint="eastAsia"/>
          <w:sz w:val="24"/>
          <w:szCs w:val="24"/>
          <w:lang w:eastAsia="zh-CN"/>
        </w:rPr>
        <w:t>附图</w:t>
      </w:r>
      <w:r>
        <w:rPr>
          <w:rFonts w:hint="eastAsia"/>
          <w:sz w:val="24"/>
          <w:szCs w:val="24"/>
          <w:lang w:val="en-US" w:eastAsia="zh-CN"/>
        </w:rPr>
        <w:t>1：地理位置图</w:t>
      </w:r>
    </w:p>
    <w:p>
      <w:pPr>
        <w:pStyle w:val="7"/>
        <w:rPr>
          <w:rFonts w:hint="eastAsia"/>
          <w:sz w:val="24"/>
          <w:szCs w:val="24"/>
          <w:lang w:val="en-US" w:eastAsia="zh-CN"/>
        </w:rPr>
      </w:pPr>
      <w:r>
        <w:rPr>
          <w:rFonts w:hint="eastAsia"/>
          <w:sz w:val="24"/>
          <w:szCs w:val="24"/>
          <w:lang w:val="en-US" w:eastAsia="zh-CN"/>
        </w:rPr>
        <w:t>附图2：项目平面布置图</w:t>
      </w:r>
    </w:p>
    <w:p>
      <w:pPr>
        <w:rPr>
          <w:rFonts w:hint="eastAsia"/>
          <w:sz w:val="24"/>
          <w:szCs w:val="24"/>
          <w:lang w:val="en-US" w:eastAsia="zh-CN"/>
        </w:rPr>
      </w:pPr>
      <w:r>
        <w:rPr>
          <w:rFonts w:hint="eastAsia"/>
          <w:sz w:val="24"/>
          <w:szCs w:val="24"/>
          <w:lang w:val="en-US" w:eastAsia="zh-CN"/>
        </w:rPr>
        <w:t>附图3：项目周边环境敏感点分布示意图</w:t>
      </w:r>
    </w:p>
    <w:p>
      <w:pPr>
        <w:pStyle w:val="8"/>
        <w:rPr>
          <w:rFonts w:hint="default"/>
          <w:lang w:val="en-US" w:eastAsia="zh-CN"/>
        </w:rPr>
      </w:pPr>
      <w:r>
        <w:rPr>
          <w:rFonts w:hint="eastAsia"/>
          <w:lang w:val="en-US" w:eastAsia="zh-CN"/>
        </w:rPr>
        <w:t>附图4：监测现场采样照片</w:t>
      </w:r>
    </w:p>
    <w:p>
      <w:pPr>
        <w:pStyle w:val="7"/>
        <w:rPr>
          <w:rFonts w:hint="eastAsia"/>
          <w:sz w:val="28"/>
          <w:szCs w:val="28"/>
          <w:lang w:val="en-US" w:eastAsia="zh-CN"/>
        </w:rPr>
      </w:pPr>
      <w:r>
        <w:rPr>
          <w:rFonts w:hint="eastAsia"/>
          <w:sz w:val="28"/>
          <w:szCs w:val="28"/>
          <w:lang w:val="en-US" w:eastAsia="zh-CN"/>
        </w:rPr>
        <w:t>附件：</w:t>
      </w:r>
    </w:p>
    <w:p>
      <w:pPr>
        <w:rPr>
          <w:rFonts w:hint="eastAsia"/>
          <w:sz w:val="24"/>
          <w:szCs w:val="24"/>
          <w:lang w:val="en-US" w:eastAsia="zh-CN"/>
        </w:rPr>
      </w:pPr>
      <w:r>
        <w:rPr>
          <w:rFonts w:hint="eastAsia"/>
          <w:sz w:val="24"/>
          <w:szCs w:val="24"/>
          <w:lang w:val="en-US" w:eastAsia="zh-CN"/>
        </w:rPr>
        <w:t>附件1：承诺函</w:t>
      </w:r>
    </w:p>
    <w:p>
      <w:pPr>
        <w:pStyle w:val="8"/>
        <w:rPr>
          <w:rFonts w:hint="eastAsia"/>
          <w:sz w:val="24"/>
          <w:szCs w:val="24"/>
          <w:lang w:val="en-US" w:eastAsia="zh-CN"/>
        </w:rPr>
      </w:pPr>
      <w:r>
        <w:rPr>
          <w:rFonts w:hint="eastAsia"/>
          <w:sz w:val="24"/>
          <w:szCs w:val="24"/>
          <w:lang w:val="en-US" w:eastAsia="zh-CN"/>
        </w:rPr>
        <w:t>附件2：环评批复</w:t>
      </w:r>
    </w:p>
    <w:p>
      <w:pPr>
        <w:pStyle w:val="7"/>
        <w:rPr>
          <w:rFonts w:hint="eastAsia"/>
          <w:sz w:val="24"/>
          <w:szCs w:val="24"/>
          <w:lang w:val="en-US" w:eastAsia="zh-CN"/>
        </w:rPr>
      </w:pPr>
      <w:r>
        <w:rPr>
          <w:rFonts w:hint="eastAsia"/>
          <w:sz w:val="24"/>
          <w:szCs w:val="24"/>
          <w:lang w:val="en-US" w:eastAsia="zh-CN"/>
        </w:rPr>
        <w:t>附件3：营业执照</w:t>
      </w:r>
    </w:p>
    <w:p>
      <w:pPr>
        <w:rPr>
          <w:rFonts w:hint="eastAsia"/>
          <w:sz w:val="24"/>
          <w:szCs w:val="24"/>
          <w:lang w:val="en-US" w:eastAsia="zh-CN"/>
        </w:rPr>
      </w:pPr>
      <w:r>
        <w:rPr>
          <w:rFonts w:hint="eastAsia"/>
          <w:sz w:val="24"/>
          <w:szCs w:val="24"/>
          <w:lang w:val="en-US" w:eastAsia="zh-CN"/>
        </w:rPr>
        <w:t>附件4：生产工况证明</w:t>
      </w:r>
    </w:p>
    <w:p>
      <w:pPr>
        <w:pStyle w:val="8"/>
        <w:rPr>
          <w:rFonts w:hint="eastAsia"/>
          <w:sz w:val="24"/>
          <w:szCs w:val="24"/>
          <w:lang w:val="en-US" w:eastAsia="zh-CN"/>
        </w:rPr>
      </w:pPr>
      <w:r>
        <w:rPr>
          <w:rFonts w:hint="eastAsia"/>
          <w:sz w:val="24"/>
          <w:szCs w:val="24"/>
          <w:lang w:val="en-US" w:eastAsia="zh-CN"/>
        </w:rPr>
        <w:t>附件5：排污登记回执单</w:t>
      </w:r>
    </w:p>
    <w:p>
      <w:pPr>
        <w:pStyle w:val="7"/>
        <w:rPr>
          <w:rFonts w:hint="eastAsia"/>
          <w:sz w:val="24"/>
          <w:szCs w:val="24"/>
          <w:lang w:val="en-US" w:eastAsia="zh-CN"/>
        </w:rPr>
      </w:pPr>
      <w:r>
        <w:rPr>
          <w:rFonts w:hint="eastAsia"/>
          <w:sz w:val="24"/>
          <w:szCs w:val="24"/>
          <w:lang w:val="en-US" w:eastAsia="zh-CN"/>
        </w:rPr>
        <w:t>附件6：危废处置合同</w:t>
      </w:r>
    </w:p>
    <w:p>
      <w:pPr>
        <w:rPr>
          <w:rFonts w:hint="eastAsia"/>
          <w:sz w:val="24"/>
          <w:szCs w:val="24"/>
          <w:lang w:val="en-US" w:eastAsia="zh-CN"/>
        </w:rPr>
      </w:pPr>
      <w:r>
        <w:rPr>
          <w:rFonts w:hint="eastAsia"/>
          <w:sz w:val="24"/>
          <w:szCs w:val="24"/>
          <w:lang w:val="en-US" w:eastAsia="zh-CN"/>
        </w:rPr>
        <w:t>附件7：监测报告</w:t>
      </w:r>
    </w:p>
    <w:p>
      <w:pPr>
        <w:pStyle w:val="8"/>
        <w:rPr>
          <w:rFonts w:hint="default"/>
          <w:sz w:val="24"/>
          <w:szCs w:val="24"/>
          <w:lang w:val="en-US" w:eastAsia="zh-CN"/>
        </w:rPr>
      </w:pPr>
    </w:p>
    <w:p>
      <w:pPr>
        <w:pStyle w:val="21"/>
        <w:rPr>
          <w:rFonts w:hint="eastAsia"/>
          <w:lang w:val="en-US" w:eastAsia="zh-CN"/>
        </w:rPr>
        <w:sectPr>
          <w:footerReference r:id="rId5" w:type="default"/>
          <w:pgSz w:w="11906" w:h="16838"/>
          <w:pgMar w:top="1440" w:right="1800" w:bottom="1440" w:left="1800" w:header="851" w:footer="992" w:gutter="0"/>
          <w:pgNumType w:start="1"/>
          <w:cols w:space="720" w:num="1"/>
          <w:docGrid w:type="lines" w:linePitch="312" w:charSpace="0"/>
        </w:sectPr>
      </w:pPr>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sz w:val="28"/>
          <w:szCs w:val="28"/>
          <w:lang w:val="en-US" w:eastAsia="zh-CN"/>
        </w:rPr>
      </w:pPr>
      <w:bookmarkStart w:id="2" w:name="_Toc2825"/>
      <w:r>
        <w:rPr>
          <w:rFonts w:hint="eastAsia"/>
          <w:sz w:val="28"/>
          <w:szCs w:val="28"/>
          <w:lang w:val="en-US" w:eastAsia="zh-CN"/>
        </w:rPr>
        <w:t>表一  建设项目基本情况</w:t>
      </w:r>
      <w:bookmarkEnd w:id="0"/>
      <w:bookmarkEnd w:id="1"/>
      <w:bookmarkEnd w:id="2"/>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2754"/>
        <w:gridCol w:w="1662"/>
        <w:gridCol w:w="283"/>
        <w:gridCol w:w="1609"/>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建设项目名称</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年产3000吨蛋挞半成品项目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建设单位名称</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宋体"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安徽丰十味食品有限公司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建设项目性质</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建设地点</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t>安徽省合肥市巢湖市安成路与前进路交叉口安徽居巢经济开发区标准化厂房7号厂房三层西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主要产品名称</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蛋挞皮、蛋挞液、手抓饼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设计生产能力</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蛋挞皮2000吨/年、蛋挞液500吨/年、手抓饼500吨/年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highlight w:val="none"/>
                <w:vertAlign w:val="baseline"/>
                <w:lang w:val="en-US" w:eastAsia="zh-CN"/>
              </w:rPr>
            </w:pPr>
            <w:r>
              <w:rPr>
                <w:rFonts w:hint="eastAsia" w:ascii="Times New Roman" w:hAnsi="Times New Roman" w:cs="Times New Roman"/>
                <w:b w:val="0"/>
                <w:bCs w:val="0"/>
                <w:sz w:val="21"/>
                <w:szCs w:val="21"/>
                <w:highlight w:val="none"/>
                <w:vertAlign w:val="baseline"/>
                <w:lang w:val="en-US" w:eastAsia="zh-CN"/>
              </w:rPr>
              <w:t>实际生产能力</w:t>
            </w:r>
          </w:p>
        </w:tc>
        <w:tc>
          <w:tcPr>
            <w:tcW w:w="7404"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highlight w:val="none"/>
                <w:vertAlign w:val="baseline"/>
                <w:lang w:val="en-US" w:eastAsia="zh-CN"/>
              </w:rPr>
            </w:pPr>
            <w:r>
              <w:rPr>
                <w:rFonts w:hint="eastAsia" w:ascii="Times New Roman" w:hAnsi="Times New Roman" w:cs="Times New Roman"/>
                <w:b w:val="0"/>
                <w:bCs w:val="0"/>
                <w:sz w:val="21"/>
                <w:szCs w:val="21"/>
                <w:highlight w:val="none"/>
                <w:vertAlign w:val="baseline"/>
                <w:lang w:val="en-US" w:eastAsia="zh-CN"/>
              </w:rPr>
              <w:t>蛋挞皮1560吨/年、蛋挞液390吨/年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建设项目环评时间</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2020.5</w:t>
            </w:r>
          </w:p>
        </w:tc>
        <w:tc>
          <w:tcPr>
            <w:tcW w:w="194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开工建设时间</w:t>
            </w:r>
          </w:p>
        </w:tc>
        <w:tc>
          <w:tcPr>
            <w:tcW w:w="270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调试时间</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2021.3</w:t>
            </w:r>
          </w:p>
        </w:tc>
        <w:tc>
          <w:tcPr>
            <w:tcW w:w="194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验收现场监测时间</w:t>
            </w:r>
          </w:p>
        </w:tc>
        <w:tc>
          <w:tcPr>
            <w:tcW w:w="270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highlight w:val="yellow"/>
                <w:vertAlign w:val="baseline"/>
                <w:lang w:val="en-US" w:eastAsia="zh-CN"/>
              </w:rPr>
            </w:pPr>
            <w:r>
              <w:rPr>
                <w:rFonts w:hint="eastAsia" w:ascii="Times New Roman" w:hAnsi="Times New Roman" w:cs="Times New Roman"/>
                <w:b w:val="0"/>
                <w:bCs w:val="0"/>
                <w:sz w:val="21"/>
                <w:szCs w:val="21"/>
                <w:highlight w:val="non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环评报告审批部门</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巢湖市环境保护局</w:t>
            </w:r>
          </w:p>
        </w:tc>
        <w:tc>
          <w:tcPr>
            <w:tcW w:w="194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环评报告编制单位</w:t>
            </w:r>
          </w:p>
        </w:tc>
        <w:tc>
          <w:tcPr>
            <w:tcW w:w="270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安徽绿环环保科技有限公司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环保设施设计单位</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安徽丰十味食品有限公司</w:t>
            </w:r>
          </w:p>
        </w:tc>
        <w:tc>
          <w:tcPr>
            <w:tcW w:w="194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环保设施施工单位</w:t>
            </w:r>
          </w:p>
        </w:tc>
        <w:tc>
          <w:tcPr>
            <w:tcW w:w="270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安徽丰十味食品有限公司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投资总概算</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300</w:t>
            </w:r>
          </w:p>
        </w:tc>
        <w:tc>
          <w:tcPr>
            <w:tcW w:w="166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环保投资总概算</w:t>
            </w:r>
          </w:p>
        </w:tc>
        <w:tc>
          <w:tcPr>
            <w:tcW w:w="28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9</w:t>
            </w:r>
          </w:p>
        </w:tc>
        <w:tc>
          <w:tcPr>
            <w:tcW w:w="16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比例</w:t>
            </w:r>
          </w:p>
        </w:tc>
        <w:tc>
          <w:tcPr>
            <w:tcW w:w="10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实际投资</w:t>
            </w:r>
          </w:p>
        </w:tc>
        <w:tc>
          <w:tcPr>
            <w:tcW w:w="275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160</w:t>
            </w:r>
          </w:p>
        </w:tc>
        <w:tc>
          <w:tcPr>
            <w:tcW w:w="166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环保投资</w:t>
            </w:r>
          </w:p>
        </w:tc>
        <w:tc>
          <w:tcPr>
            <w:tcW w:w="28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2</w:t>
            </w:r>
          </w:p>
        </w:tc>
        <w:tc>
          <w:tcPr>
            <w:tcW w:w="1609"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比例</w:t>
            </w:r>
          </w:p>
        </w:tc>
        <w:tc>
          <w:tcPr>
            <w:tcW w:w="1096"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color w:val="auto"/>
                <w:sz w:val="21"/>
                <w:szCs w:val="21"/>
                <w:highlight w:val="none"/>
                <w:vertAlign w:val="baseline"/>
                <w:lang w:val="en-US" w:eastAsia="zh-CN"/>
              </w:rPr>
            </w:pPr>
            <w:r>
              <w:rPr>
                <w:rFonts w:hint="eastAsia" w:ascii="Times New Roman" w:hAnsi="Times New Roman" w:cs="Times New Roman"/>
                <w:b w:val="0"/>
                <w:bCs w:val="0"/>
                <w:color w:val="auto"/>
                <w:sz w:val="21"/>
                <w:szCs w:val="21"/>
                <w:highlight w:val="none"/>
                <w:vertAlign w:val="baseline"/>
                <w:lang w:val="en-US" w:eastAsia="zh-CN"/>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4"/>
                <w:szCs w:val="24"/>
                <w:vertAlign w:val="baseline"/>
                <w:lang w:val="en-US" w:eastAsia="zh-CN"/>
              </w:rPr>
              <w:t>验收监测依据</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p>
        </w:tc>
        <w:tc>
          <w:tcPr>
            <w:tcW w:w="7404" w:type="dxa"/>
            <w:gridSpan w:val="5"/>
            <w:noWrap w:val="0"/>
            <w:vAlign w:val="top"/>
          </w:tcPr>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《中华人民共和国环境保护法》（2015年1月1日）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《中华人民共和国环境影响评价法》（2018年12月29日）</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《中华人民共和国水污染防治法》（2017年6月27日第二次修订）</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《中华人民共和国大气污染防治法》（2018年10月26日修订）</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《中华人民共和国环境噪声防治法》（2018年12月29日修订）</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《中华人民共和国固体废物污染环境防治法》（2016年11月7日修订）</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《建设项目环境保护管理条例》【国务院（2017）682号】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《建设项目竣工环境保护验收技术指南  污染影响类》（生态环境部办公厅函，公告2018年第9号）</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《安徽丰十味食品有限公司年产3000吨蛋挞半成品项目项目》环境影响报告表，安徽绿环科技有限公司有限公司（2020.5）</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cs="Times New Roman"/>
                <w:b w:val="0"/>
                <w:bCs w:val="0"/>
                <w:color w:val="auto"/>
                <w:sz w:val="24"/>
                <w:szCs w:val="24"/>
                <w:vertAlign w:val="baseline"/>
                <w:lang w:val="en-US" w:eastAsia="zh-CN"/>
              </w:rPr>
            </w:pPr>
            <w:r>
              <w:rPr>
                <w:rFonts w:hint="eastAsia" w:ascii="Times New Roman" w:hAnsi="Times New Roman" w:cs="Times New Roman"/>
                <w:b w:val="0"/>
                <w:bCs w:val="0"/>
                <w:color w:val="auto"/>
                <w:sz w:val="24"/>
                <w:szCs w:val="24"/>
                <w:vertAlign w:val="baseline"/>
                <w:lang w:val="en-US" w:eastAsia="zh-CN"/>
              </w:rPr>
              <w:t>《关于安徽丰十味食品有限公司年产3000吨蛋挞半成品项目项目环境影响报告的批复》合肥市巢湖市生态环境分局（巢环审【2020】60号）</w:t>
            </w:r>
          </w:p>
          <w:p>
            <w:pPr>
              <w:jc w:val="both"/>
              <w:rPr>
                <w:rFonts w:hint="default"/>
                <w:b w:val="0"/>
                <w:bCs w:val="0"/>
                <w:sz w:val="24"/>
                <w:szCs w:val="24"/>
                <w:u w:val="none"/>
                <w:vertAlign w:val="baseline"/>
                <w:lang w:val="en-US" w:eastAsia="zh-CN"/>
              </w:rPr>
            </w:pPr>
            <w:r>
              <w:rPr>
                <w:rFonts w:hint="eastAsia" w:ascii="Times New Roman" w:hAnsi="Times New Roman" w:cs="Times New Roman"/>
                <w:b w:val="0"/>
                <w:bCs w:val="0"/>
                <w:color w:val="auto"/>
                <w:sz w:val="24"/>
                <w:szCs w:val="24"/>
                <w:vertAlign w:val="baseline"/>
                <w:lang w:val="en-US" w:eastAsia="zh-CN"/>
              </w:rPr>
              <w:t>11、安徽丰十味食品有限公司提供的其他资料。</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cs="Times New Roman"/>
                <w:b w:val="0"/>
                <w:bCs w:val="0"/>
                <w:sz w:val="21"/>
                <w:szCs w:val="21"/>
                <w:vertAlign w:val="baseline"/>
                <w:lang w:val="en-US" w:eastAsia="zh-CN"/>
              </w:rPr>
            </w:pPr>
            <w:r>
              <w:rPr>
                <w:rFonts w:hint="eastAsia" w:ascii="Times New Roman" w:hAnsi="Times New Roman" w:cs="Times New Roman"/>
                <w:b w:val="0"/>
                <w:bCs w:val="0"/>
                <w:sz w:val="21"/>
                <w:szCs w:val="21"/>
                <w:vertAlign w:val="baseline"/>
                <w:lang w:val="en-US" w:eastAsia="zh-CN"/>
              </w:rPr>
              <w:t>验收监测评价标准、标号、级别、限值</w:t>
            </w:r>
          </w:p>
        </w:tc>
        <w:tc>
          <w:tcPr>
            <w:tcW w:w="7404" w:type="dxa"/>
            <w:gridSpan w:val="5"/>
            <w:noWrap w:val="0"/>
            <w:vAlign w:val="top"/>
          </w:tcPr>
          <w:p>
            <w:pPr>
              <w:pStyle w:val="22"/>
              <w:adjustRightInd/>
              <w:ind w:firstLine="0" w:firstLineChars="0"/>
              <w:rPr>
                <w:rFonts w:hint="eastAsia"/>
                <w:b/>
                <w:bCs/>
              </w:rPr>
            </w:pPr>
            <w:r>
              <w:rPr>
                <w:rFonts w:hint="eastAsia"/>
                <w:b/>
                <w:bCs/>
              </w:rPr>
              <w:t>1、废水</w:t>
            </w:r>
          </w:p>
          <w:p>
            <w:pPr>
              <w:pStyle w:val="22"/>
              <w:adjustRightInd/>
              <w:ind w:firstLine="480"/>
              <w:rPr>
                <w:rFonts w:hint="eastAsia"/>
              </w:rPr>
            </w:pPr>
            <w:r>
              <w:t>本项目废水排放执行《污水综合排放标准》（GB8978-1996）中的三级标准</w:t>
            </w:r>
            <w:r>
              <w:rPr>
                <w:rFonts w:hint="eastAsia"/>
                <w:lang w:eastAsia="zh-CN"/>
              </w:rPr>
              <w:t>，其中氨氮执行《污水排入城镇下水道水质标准》（GB/T 31962-2015)中B级标准限值</w:t>
            </w:r>
            <w:r>
              <w:t>，巢湖市</w:t>
            </w:r>
            <w:r>
              <w:rPr>
                <w:rFonts w:hint="eastAsia"/>
              </w:rPr>
              <w:t>岗岭</w:t>
            </w:r>
            <w:r>
              <w:t>污水处理厂尾水达到《巢湖流域城镇污水处理厂和工业行业主要水污染物排放限值》（DB34/2710-2016）</w:t>
            </w:r>
            <w:r>
              <w:rPr>
                <w:rFonts w:hint="eastAsia"/>
              </w:rPr>
              <w:t>中“</w:t>
            </w:r>
            <w:r>
              <w:t>城镇污水处理厂I</w:t>
            </w:r>
            <w:r>
              <w:rPr>
                <w:rFonts w:hint="eastAsia"/>
              </w:rPr>
              <w:t>”相关标准</w:t>
            </w:r>
            <w:r>
              <w:t>，其中未规定污染物指标执行《城镇污水处理厂污染物排放标准》一级标准中A标准后排放后外排至裕溪河</w:t>
            </w:r>
            <w:r>
              <w:rPr>
                <w:rFonts w:hint="eastAsia"/>
              </w:rPr>
              <w:t>。</w:t>
            </w:r>
          </w:p>
          <w:p>
            <w:pPr>
              <w:pStyle w:val="22"/>
              <w:adjustRightInd/>
              <w:ind w:firstLine="0" w:firstLineChars="0"/>
              <w:jc w:val="center"/>
              <w:rPr>
                <w:b/>
                <w:bCs/>
              </w:rPr>
            </w:pPr>
            <w:r>
              <w:rPr>
                <w:b/>
                <w:bCs/>
              </w:rPr>
              <w:t>表</w:t>
            </w:r>
            <w:r>
              <w:rPr>
                <w:rFonts w:hint="eastAsia"/>
                <w:b/>
                <w:bCs/>
                <w:lang w:val="en-US" w:eastAsia="zh-CN"/>
              </w:rPr>
              <w:t>1</w:t>
            </w:r>
            <w:r>
              <w:rPr>
                <w:rFonts w:hint="eastAsia"/>
                <w:b/>
                <w:bCs/>
              </w:rPr>
              <w:t>-</w:t>
            </w:r>
            <w:r>
              <w:rPr>
                <w:rFonts w:hint="eastAsia"/>
                <w:b/>
                <w:bCs/>
                <w:lang w:val="en-US" w:eastAsia="zh-CN"/>
              </w:rPr>
              <w:t xml:space="preserve">1 </w:t>
            </w:r>
            <w:r>
              <w:rPr>
                <w:b/>
                <w:bCs/>
              </w:rPr>
              <w:t>污水污染物排放标准限值</w:t>
            </w:r>
          </w:p>
          <w:tbl>
            <w:tblPr>
              <w:tblStyle w:val="17"/>
              <w:tblW w:w="7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842"/>
              <w:gridCol w:w="1093"/>
              <w:gridCol w:w="844"/>
              <w:gridCol w:w="2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626" w:type="dxa"/>
                  <w:noWrap w:val="0"/>
                  <w:vAlign w:val="top"/>
                </w:tcPr>
                <w:p>
                  <w:pPr>
                    <w:pStyle w:val="22"/>
                    <w:adjustRightInd/>
                    <w:ind w:firstLine="0" w:firstLineChars="0"/>
                    <w:rPr>
                      <w:sz w:val="21"/>
                      <w:szCs w:val="21"/>
                    </w:rPr>
                  </w:pPr>
                  <w:r>
                    <w:rPr>
                      <w:sz w:val="21"/>
                      <w:szCs w:val="21"/>
                    </w:rPr>
                    <w:t>序号</w:t>
                  </w:r>
                </w:p>
              </w:tc>
              <w:tc>
                <w:tcPr>
                  <w:tcW w:w="1842" w:type="dxa"/>
                  <w:noWrap w:val="0"/>
                  <w:vAlign w:val="top"/>
                </w:tcPr>
                <w:p>
                  <w:pPr>
                    <w:pStyle w:val="22"/>
                    <w:adjustRightInd/>
                    <w:ind w:firstLine="0" w:firstLineChars="0"/>
                    <w:rPr>
                      <w:sz w:val="21"/>
                      <w:szCs w:val="21"/>
                    </w:rPr>
                  </w:pPr>
                  <w:r>
                    <w:rPr>
                      <w:sz w:val="21"/>
                      <w:szCs w:val="21"/>
                    </w:rPr>
                    <w:t>污染物项目</w:t>
                  </w:r>
                </w:p>
              </w:tc>
              <w:tc>
                <w:tcPr>
                  <w:tcW w:w="1093" w:type="dxa"/>
                  <w:noWrap w:val="0"/>
                  <w:vAlign w:val="top"/>
                </w:tcPr>
                <w:p>
                  <w:pPr>
                    <w:pStyle w:val="22"/>
                    <w:adjustRightInd/>
                    <w:ind w:firstLine="0" w:firstLineChars="0"/>
                    <w:rPr>
                      <w:sz w:val="21"/>
                      <w:szCs w:val="21"/>
                    </w:rPr>
                  </w:pPr>
                  <w:r>
                    <w:rPr>
                      <w:sz w:val="21"/>
                      <w:szCs w:val="21"/>
                    </w:rPr>
                    <w:t>标准限值</w:t>
                  </w:r>
                </w:p>
              </w:tc>
              <w:tc>
                <w:tcPr>
                  <w:tcW w:w="844" w:type="dxa"/>
                  <w:noWrap w:val="0"/>
                  <w:vAlign w:val="top"/>
                </w:tcPr>
                <w:p>
                  <w:pPr>
                    <w:pStyle w:val="22"/>
                    <w:adjustRightInd/>
                    <w:ind w:firstLine="0" w:firstLineChars="0"/>
                    <w:rPr>
                      <w:sz w:val="21"/>
                      <w:szCs w:val="21"/>
                    </w:rPr>
                  </w:pPr>
                  <w:r>
                    <w:rPr>
                      <w:sz w:val="21"/>
                      <w:szCs w:val="21"/>
                    </w:rPr>
                    <w:t>单位</w:t>
                  </w:r>
                </w:p>
              </w:tc>
              <w:tc>
                <w:tcPr>
                  <w:tcW w:w="2853" w:type="dxa"/>
                  <w:noWrap w:val="0"/>
                  <w:vAlign w:val="top"/>
                </w:tcPr>
                <w:p>
                  <w:pPr>
                    <w:pStyle w:val="22"/>
                    <w:adjustRightInd/>
                    <w:ind w:firstLine="0" w:firstLineChars="0"/>
                    <w:rPr>
                      <w:sz w:val="21"/>
                      <w:szCs w:val="21"/>
                    </w:rPr>
                  </w:pPr>
                  <w:r>
                    <w:rPr>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626" w:type="dxa"/>
                  <w:noWrap w:val="0"/>
                  <w:vAlign w:val="top"/>
                </w:tcPr>
                <w:p>
                  <w:pPr>
                    <w:pStyle w:val="22"/>
                    <w:adjustRightInd/>
                    <w:ind w:firstLine="0" w:firstLineChars="0"/>
                    <w:rPr>
                      <w:sz w:val="21"/>
                      <w:szCs w:val="21"/>
                    </w:rPr>
                  </w:pPr>
                  <w:r>
                    <w:rPr>
                      <w:sz w:val="21"/>
                      <w:szCs w:val="21"/>
                    </w:rPr>
                    <w:t>1</w:t>
                  </w:r>
                </w:p>
              </w:tc>
              <w:tc>
                <w:tcPr>
                  <w:tcW w:w="1842" w:type="dxa"/>
                  <w:noWrap w:val="0"/>
                  <w:vAlign w:val="top"/>
                </w:tcPr>
                <w:p>
                  <w:pPr>
                    <w:pStyle w:val="22"/>
                    <w:adjustRightInd/>
                    <w:ind w:firstLine="0" w:firstLineChars="0"/>
                    <w:rPr>
                      <w:sz w:val="21"/>
                      <w:szCs w:val="21"/>
                    </w:rPr>
                  </w:pPr>
                  <w:r>
                    <w:rPr>
                      <w:sz w:val="21"/>
                      <w:szCs w:val="21"/>
                    </w:rPr>
                    <w:t>pH</w:t>
                  </w:r>
                </w:p>
              </w:tc>
              <w:tc>
                <w:tcPr>
                  <w:tcW w:w="1093" w:type="dxa"/>
                  <w:noWrap w:val="0"/>
                  <w:vAlign w:val="top"/>
                </w:tcPr>
                <w:p>
                  <w:pPr>
                    <w:pStyle w:val="22"/>
                    <w:adjustRightInd/>
                    <w:ind w:firstLine="0" w:firstLineChars="0"/>
                    <w:rPr>
                      <w:sz w:val="21"/>
                      <w:szCs w:val="21"/>
                    </w:rPr>
                  </w:pPr>
                  <w:r>
                    <w:rPr>
                      <w:sz w:val="21"/>
                      <w:szCs w:val="21"/>
                    </w:rPr>
                    <w:t>6~9</w:t>
                  </w:r>
                </w:p>
              </w:tc>
              <w:tc>
                <w:tcPr>
                  <w:tcW w:w="844" w:type="dxa"/>
                  <w:noWrap w:val="0"/>
                  <w:vAlign w:val="top"/>
                </w:tcPr>
                <w:p>
                  <w:pPr>
                    <w:pStyle w:val="22"/>
                    <w:adjustRightInd/>
                    <w:ind w:firstLine="0" w:firstLineChars="0"/>
                    <w:rPr>
                      <w:sz w:val="21"/>
                      <w:szCs w:val="21"/>
                    </w:rPr>
                  </w:pPr>
                  <w:r>
                    <w:rPr>
                      <w:sz w:val="21"/>
                      <w:szCs w:val="21"/>
                    </w:rPr>
                    <w:t>无量纲</w:t>
                  </w:r>
                </w:p>
              </w:tc>
              <w:tc>
                <w:tcPr>
                  <w:tcW w:w="2853" w:type="dxa"/>
                  <w:vMerge w:val="restart"/>
                  <w:noWrap w:val="0"/>
                  <w:vAlign w:val="center"/>
                </w:tcPr>
                <w:p>
                  <w:pPr>
                    <w:pStyle w:val="22"/>
                    <w:adjustRightInd/>
                    <w:ind w:firstLine="0" w:firstLineChars="0"/>
                    <w:jc w:val="center"/>
                    <w:rPr>
                      <w:sz w:val="21"/>
                      <w:szCs w:val="21"/>
                    </w:rPr>
                  </w:pPr>
                  <w:r>
                    <w:rPr>
                      <w:sz w:val="21"/>
                      <w:szCs w:val="21"/>
                    </w:rPr>
                    <w:t>《污水综合排放标准》（GB8978-1996）三级标准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exact"/>
              </w:trPr>
              <w:tc>
                <w:tcPr>
                  <w:tcW w:w="626" w:type="dxa"/>
                  <w:noWrap w:val="0"/>
                  <w:vAlign w:val="top"/>
                </w:tcPr>
                <w:p>
                  <w:pPr>
                    <w:pStyle w:val="22"/>
                    <w:adjustRightInd/>
                    <w:ind w:firstLine="0" w:firstLineChars="0"/>
                    <w:rPr>
                      <w:sz w:val="21"/>
                      <w:szCs w:val="21"/>
                    </w:rPr>
                  </w:pPr>
                  <w:r>
                    <w:rPr>
                      <w:sz w:val="21"/>
                      <w:szCs w:val="21"/>
                    </w:rPr>
                    <w:t>2</w:t>
                  </w:r>
                </w:p>
              </w:tc>
              <w:tc>
                <w:tcPr>
                  <w:tcW w:w="1842" w:type="dxa"/>
                  <w:noWrap w:val="0"/>
                  <w:vAlign w:val="top"/>
                </w:tcPr>
                <w:p>
                  <w:pPr>
                    <w:pStyle w:val="22"/>
                    <w:adjustRightInd/>
                    <w:ind w:firstLine="0" w:firstLineChars="0"/>
                    <w:rPr>
                      <w:sz w:val="21"/>
                      <w:szCs w:val="21"/>
                    </w:rPr>
                  </w:pPr>
                  <w:r>
                    <w:rPr>
                      <w:rFonts w:hint="eastAsia"/>
                      <w:sz w:val="21"/>
                      <w:szCs w:val="21"/>
                    </w:rPr>
                    <w:t>SS</w:t>
                  </w:r>
                </w:p>
              </w:tc>
              <w:tc>
                <w:tcPr>
                  <w:tcW w:w="1093" w:type="dxa"/>
                  <w:noWrap w:val="0"/>
                  <w:vAlign w:val="top"/>
                </w:tcPr>
                <w:p>
                  <w:pPr>
                    <w:pStyle w:val="22"/>
                    <w:adjustRightInd/>
                    <w:ind w:firstLine="0" w:firstLineChars="0"/>
                    <w:rPr>
                      <w:sz w:val="21"/>
                      <w:szCs w:val="21"/>
                    </w:rPr>
                  </w:pPr>
                  <w:r>
                    <w:rPr>
                      <w:sz w:val="21"/>
                      <w:szCs w:val="21"/>
                    </w:rPr>
                    <w:t>400</w:t>
                  </w:r>
                </w:p>
              </w:tc>
              <w:tc>
                <w:tcPr>
                  <w:tcW w:w="844" w:type="dxa"/>
                  <w:noWrap w:val="0"/>
                  <w:vAlign w:val="top"/>
                </w:tcPr>
                <w:p>
                  <w:pPr>
                    <w:pStyle w:val="22"/>
                    <w:adjustRightInd/>
                    <w:ind w:firstLine="0" w:firstLineChars="0"/>
                    <w:rPr>
                      <w:sz w:val="21"/>
                      <w:szCs w:val="21"/>
                    </w:rPr>
                  </w:pPr>
                  <w:r>
                    <w:rPr>
                      <w:sz w:val="21"/>
                      <w:szCs w:val="21"/>
                    </w:rPr>
                    <w:t>mg/L</w:t>
                  </w:r>
                </w:p>
              </w:tc>
              <w:tc>
                <w:tcPr>
                  <w:tcW w:w="2853" w:type="dxa"/>
                  <w:vMerge w:val="continue"/>
                  <w:noWrap w:val="0"/>
                  <w:vAlign w:val="top"/>
                </w:tcPr>
                <w:p>
                  <w:pPr>
                    <w:pStyle w:val="22"/>
                    <w:adjustRightInd/>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626" w:type="dxa"/>
                  <w:noWrap w:val="0"/>
                  <w:vAlign w:val="top"/>
                </w:tcPr>
                <w:p>
                  <w:pPr>
                    <w:pStyle w:val="22"/>
                    <w:adjustRightInd/>
                    <w:ind w:firstLine="0" w:firstLineChars="0"/>
                    <w:rPr>
                      <w:sz w:val="21"/>
                      <w:szCs w:val="21"/>
                    </w:rPr>
                  </w:pPr>
                  <w:r>
                    <w:rPr>
                      <w:sz w:val="21"/>
                      <w:szCs w:val="21"/>
                    </w:rPr>
                    <w:t>3</w:t>
                  </w:r>
                </w:p>
              </w:tc>
              <w:tc>
                <w:tcPr>
                  <w:tcW w:w="1842" w:type="dxa"/>
                  <w:noWrap w:val="0"/>
                  <w:vAlign w:val="top"/>
                </w:tcPr>
                <w:p>
                  <w:pPr>
                    <w:pStyle w:val="22"/>
                    <w:adjustRightInd/>
                    <w:ind w:firstLine="0" w:firstLineChars="0"/>
                    <w:rPr>
                      <w:rFonts w:hint="default" w:eastAsia="宋体"/>
                      <w:sz w:val="21"/>
                      <w:szCs w:val="21"/>
                      <w:lang w:val="en-US" w:eastAsia="zh-CN"/>
                    </w:rPr>
                  </w:pPr>
                  <w:r>
                    <w:rPr>
                      <w:rFonts w:hint="eastAsia"/>
                      <w:sz w:val="21"/>
                      <w:szCs w:val="21"/>
                      <w:lang w:val="en-US" w:eastAsia="zh-CN"/>
                    </w:rPr>
                    <w:t>COD</w:t>
                  </w:r>
                </w:p>
              </w:tc>
              <w:tc>
                <w:tcPr>
                  <w:tcW w:w="1093" w:type="dxa"/>
                  <w:noWrap w:val="0"/>
                  <w:vAlign w:val="top"/>
                </w:tcPr>
                <w:p>
                  <w:pPr>
                    <w:pStyle w:val="22"/>
                    <w:adjustRightInd/>
                    <w:ind w:firstLine="0" w:firstLineChars="0"/>
                    <w:rPr>
                      <w:sz w:val="21"/>
                      <w:szCs w:val="21"/>
                    </w:rPr>
                  </w:pPr>
                  <w:r>
                    <w:rPr>
                      <w:sz w:val="21"/>
                      <w:szCs w:val="21"/>
                    </w:rPr>
                    <w:t>500</w:t>
                  </w:r>
                </w:p>
              </w:tc>
              <w:tc>
                <w:tcPr>
                  <w:tcW w:w="844" w:type="dxa"/>
                  <w:noWrap w:val="0"/>
                  <w:vAlign w:val="top"/>
                </w:tcPr>
                <w:p>
                  <w:pPr>
                    <w:pStyle w:val="22"/>
                    <w:adjustRightInd/>
                    <w:ind w:firstLine="0" w:firstLineChars="0"/>
                    <w:rPr>
                      <w:sz w:val="21"/>
                      <w:szCs w:val="21"/>
                    </w:rPr>
                  </w:pPr>
                  <w:r>
                    <w:rPr>
                      <w:sz w:val="21"/>
                      <w:szCs w:val="21"/>
                    </w:rPr>
                    <w:t>mg/L</w:t>
                  </w:r>
                </w:p>
              </w:tc>
              <w:tc>
                <w:tcPr>
                  <w:tcW w:w="2853" w:type="dxa"/>
                  <w:vMerge w:val="continue"/>
                  <w:noWrap w:val="0"/>
                  <w:vAlign w:val="top"/>
                </w:tcPr>
                <w:p>
                  <w:pPr>
                    <w:pStyle w:val="22"/>
                    <w:adjustRightInd/>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626" w:type="dxa"/>
                  <w:noWrap w:val="0"/>
                  <w:vAlign w:val="top"/>
                </w:tcPr>
                <w:p>
                  <w:pPr>
                    <w:pStyle w:val="22"/>
                    <w:adjustRightInd/>
                    <w:ind w:firstLine="0" w:firstLineChars="0"/>
                    <w:rPr>
                      <w:sz w:val="21"/>
                      <w:szCs w:val="21"/>
                    </w:rPr>
                  </w:pPr>
                  <w:r>
                    <w:rPr>
                      <w:sz w:val="21"/>
                      <w:szCs w:val="21"/>
                    </w:rPr>
                    <w:t>4</w:t>
                  </w:r>
                </w:p>
              </w:tc>
              <w:tc>
                <w:tcPr>
                  <w:tcW w:w="1842" w:type="dxa"/>
                  <w:noWrap w:val="0"/>
                  <w:vAlign w:val="top"/>
                </w:tcPr>
                <w:p>
                  <w:pPr>
                    <w:pStyle w:val="22"/>
                    <w:adjustRightInd/>
                    <w:ind w:firstLine="0" w:firstLineChars="0"/>
                    <w:rPr>
                      <w:sz w:val="21"/>
                      <w:szCs w:val="21"/>
                    </w:rPr>
                  </w:pPr>
                  <w:r>
                    <w:rPr>
                      <w:rFonts w:hint="eastAsia"/>
                      <w:sz w:val="21"/>
                      <w:szCs w:val="21"/>
                      <w:lang w:val="en-US" w:eastAsia="zh-CN"/>
                    </w:rPr>
                    <w:t>BOD</w:t>
                  </w:r>
                  <w:r>
                    <w:rPr>
                      <w:rFonts w:hint="eastAsia"/>
                      <w:sz w:val="21"/>
                      <w:szCs w:val="21"/>
                      <w:vertAlign w:val="subscript"/>
                      <w:lang w:val="en-US" w:eastAsia="zh-CN"/>
                    </w:rPr>
                    <w:t>5</w:t>
                  </w:r>
                </w:p>
              </w:tc>
              <w:tc>
                <w:tcPr>
                  <w:tcW w:w="1093" w:type="dxa"/>
                  <w:noWrap w:val="0"/>
                  <w:vAlign w:val="top"/>
                </w:tcPr>
                <w:p>
                  <w:pPr>
                    <w:pStyle w:val="22"/>
                    <w:adjustRightInd/>
                    <w:ind w:firstLine="0" w:firstLineChars="0"/>
                    <w:rPr>
                      <w:sz w:val="21"/>
                      <w:szCs w:val="21"/>
                    </w:rPr>
                  </w:pPr>
                  <w:r>
                    <w:rPr>
                      <w:sz w:val="21"/>
                      <w:szCs w:val="21"/>
                    </w:rPr>
                    <w:t>300</w:t>
                  </w:r>
                </w:p>
              </w:tc>
              <w:tc>
                <w:tcPr>
                  <w:tcW w:w="844" w:type="dxa"/>
                  <w:noWrap w:val="0"/>
                  <w:vAlign w:val="top"/>
                </w:tcPr>
                <w:p>
                  <w:pPr>
                    <w:pStyle w:val="22"/>
                    <w:adjustRightInd/>
                    <w:ind w:firstLine="0" w:firstLineChars="0"/>
                    <w:rPr>
                      <w:sz w:val="21"/>
                      <w:szCs w:val="21"/>
                    </w:rPr>
                  </w:pPr>
                  <w:r>
                    <w:rPr>
                      <w:sz w:val="21"/>
                      <w:szCs w:val="21"/>
                    </w:rPr>
                    <w:t>mg/L</w:t>
                  </w:r>
                </w:p>
              </w:tc>
              <w:tc>
                <w:tcPr>
                  <w:tcW w:w="2853" w:type="dxa"/>
                  <w:vMerge w:val="continue"/>
                  <w:noWrap w:val="0"/>
                  <w:vAlign w:val="top"/>
                </w:tcPr>
                <w:p>
                  <w:pPr>
                    <w:pStyle w:val="22"/>
                    <w:adjustRightInd/>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626" w:type="dxa"/>
                  <w:noWrap w:val="0"/>
                  <w:vAlign w:val="top"/>
                </w:tcPr>
                <w:p>
                  <w:pPr>
                    <w:pStyle w:val="22"/>
                    <w:adjustRightInd/>
                    <w:ind w:firstLine="0" w:firstLineChars="0"/>
                    <w:rPr>
                      <w:rFonts w:hint="eastAsia"/>
                      <w:sz w:val="21"/>
                      <w:szCs w:val="21"/>
                      <w:lang w:eastAsia="zh-CN"/>
                    </w:rPr>
                  </w:pPr>
                  <w:r>
                    <w:rPr>
                      <w:rFonts w:hint="eastAsia"/>
                      <w:sz w:val="21"/>
                      <w:szCs w:val="21"/>
                      <w:lang w:val="en-US" w:eastAsia="zh-CN"/>
                    </w:rPr>
                    <w:t>5</w:t>
                  </w:r>
                </w:p>
              </w:tc>
              <w:tc>
                <w:tcPr>
                  <w:tcW w:w="1842" w:type="dxa"/>
                  <w:noWrap w:val="0"/>
                  <w:vAlign w:val="top"/>
                </w:tcPr>
                <w:p>
                  <w:pPr>
                    <w:pStyle w:val="22"/>
                    <w:adjustRightInd/>
                    <w:ind w:firstLine="0" w:firstLineChars="0"/>
                    <w:rPr>
                      <w:sz w:val="21"/>
                      <w:szCs w:val="21"/>
                    </w:rPr>
                  </w:pPr>
                  <w:r>
                    <w:rPr>
                      <w:sz w:val="21"/>
                      <w:szCs w:val="21"/>
                    </w:rPr>
                    <w:t>动植物油</w:t>
                  </w:r>
                </w:p>
              </w:tc>
              <w:tc>
                <w:tcPr>
                  <w:tcW w:w="1093" w:type="dxa"/>
                  <w:noWrap w:val="0"/>
                  <w:vAlign w:val="top"/>
                </w:tcPr>
                <w:p>
                  <w:pPr>
                    <w:pStyle w:val="22"/>
                    <w:adjustRightInd/>
                    <w:ind w:firstLine="0" w:firstLineChars="0"/>
                    <w:rPr>
                      <w:sz w:val="21"/>
                      <w:szCs w:val="21"/>
                    </w:rPr>
                  </w:pPr>
                  <w:r>
                    <w:rPr>
                      <w:sz w:val="21"/>
                      <w:szCs w:val="21"/>
                    </w:rPr>
                    <w:t>100</w:t>
                  </w:r>
                </w:p>
              </w:tc>
              <w:tc>
                <w:tcPr>
                  <w:tcW w:w="844" w:type="dxa"/>
                  <w:noWrap w:val="0"/>
                  <w:vAlign w:val="top"/>
                </w:tcPr>
                <w:p>
                  <w:pPr>
                    <w:pStyle w:val="22"/>
                    <w:adjustRightInd/>
                    <w:ind w:firstLine="0" w:firstLineChars="0"/>
                    <w:rPr>
                      <w:sz w:val="21"/>
                      <w:szCs w:val="21"/>
                    </w:rPr>
                  </w:pPr>
                  <w:r>
                    <w:rPr>
                      <w:sz w:val="21"/>
                      <w:szCs w:val="21"/>
                    </w:rPr>
                    <w:t>mg/L</w:t>
                  </w:r>
                </w:p>
              </w:tc>
              <w:tc>
                <w:tcPr>
                  <w:tcW w:w="2853" w:type="dxa"/>
                  <w:vMerge w:val="continue"/>
                  <w:noWrap w:val="0"/>
                  <w:vAlign w:val="top"/>
                </w:tcPr>
                <w:p>
                  <w:pPr>
                    <w:pStyle w:val="22"/>
                    <w:adjustRightInd/>
                    <w:ind w:firstLine="0" w:firstLineChars="0"/>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exact"/>
              </w:trPr>
              <w:tc>
                <w:tcPr>
                  <w:tcW w:w="626" w:type="dxa"/>
                  <w:noWrap w:val="0"/>
                  <w:vAlign w:val="center"/>
                </w:tcPr>
                <w:p>
                  <w:pPr>
                    <w:pStyle w:val="22"/>
                    <w:adjustRightInd/>
                    <w:ind w:firstLine="0" w:firstLineChars="0"/>
                    <w:jc w:val="left"/>
                    <w:rPr>
                      <w:rFonts w:hint="eastAsia"/>
                      <w:sz w:val="21"/>
                      <w:szCs w:val="21"/>
                      <w:lang w:val="en-US" w:eastAsia="zh-CN"/>
                    </w:rPr>
                  </w:pPr>
                  <w:r>
                    <w:rPr>
                      <w:rFonts w:hint="eastAsia"/>
                      <w:sz w:val="21"/>
                      <w:szCs w:val="21"/>
                      <w:lang w:val="en-US" w:eastAsia="zh-CN"/>
                    </w:rPr>
                    <w:t>6</w:t>
                  </w:r>
                </w:p>
              </w:tc>
              <w:tc>
                <w:tcPr>
                  <w:tcW w:w="1842" w:type="dxa"/>
                  <w:noWrap w:val="0"/>
                  <w:vAlign w:val="center"/>
                </w:tcPr>
                <w:p>
                  <w:pPr>
                    <w:pStyle w:val="22"/>
                    <w:adjustRightInd/>
                    <w:ind w:firstLine="0" w:firstLineChars="0"/>
                    <w:jc w:val="left"/>
                    <w:rPr>
                      <w:rFonts w:hint="eastAsia"/>
                      <w:sz w:val="21"/>
                      <w:szCs w:val="21"/>
                      <w:lang w:eastAsia="zh-CN"/>
                    </w:rPr>
                  </w:pPr>
                  <w:r>
                    <w:rPr>
                      <w:rFonts w:hint="eastAsia"/>
                      <w:sz w:val="21"/>
                      <w:szCs w:val="21"/>
                      <w:lang w:eastAsia="zh-CN"/>
                    </w:rPr>
                    <w:t>氨氮</w:t>
                  </w:r>
                </w:p>
              </w:tc>
              <w:tc>
                <w:tcPr>
                  <w:tcW w:w="1093" w:type="dxa"/>
                  <w:noWrap w:val="0"/>
                  <w:vAlign w:val="center"/>
                </w:tcPr>
                <w:p>
                  <w:pPr>
                    <w:pStyle w:val="22"/>
                    <w:adjustRightInd/>
                    <w:ind w:firstLine="0" w:firstLineChars="0"/>
                    <w:jc w:val="left"/>
                    <w:rPr>
                      <w:rFonts w:hint="eastAsia"/>
                      <w:sz w:val="21"/>
                      <w:szCs w:val="21"/>
                      <w:lang w:val="en-US" w:eastAsia="zh-CN"/>
                    </w:rPr>
                  </w:pPr>
                  <w:r>
                    <w:rPr>
                      <w:rFonts w:hint="eastAsia"/>
                      <w:sz w:val="21"/>
                      <w:szCs w:val="21"/>
                      <w:lang w:val="en-US" w:eastAsia="zh-CN"/>
                    </w:rPr>
                    <w:t>45</w:t>
                  </w:r>
                </w:p>
              </w:tc>
              <w:tc>
                <w:tcPr>
                  <w:tcW w:w="844" w:type="dxa"/>
                  <w:noWrap w:val="0"/>
                  <w:vAlign w:val="center"/>
                </w:tcPr>
                <w:p>
                  <w:pPr>
                    <w:pStyle w:val="22"/>
                    <w:adjustRightInd/>
                    <w:ind w:firstLine="0" w:firstLineChars="0"/>
                    <w:jc w:val="left"/>
                    <w:rPr>
                      <w:sz w:val="21"/>
                      <w:szCs w:val="21"/>
                    </w:rPr>
                  </w:pPr>
                  <w:r>
                    <w:rPr>
                      <w:sz w:val="21"/>
                      <w:szCs w:val="21"/>
                    </w:rPr>
                    <w:t>mg/L</w:t>
                  </w:r>
                </w:p>
              </w:tc>
              <w:tc>
                <w:tcPr>
                  <w:tcW w:w="2853" w:type="dxa"/>
                  <w:noWrap w:val="0"/>
                  <w:vAlign w:val="top"/>
                </w:tcPr>
                <w:p>
                  <w:pPr>
                    <w:pStyle w:val="2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sz w:val="21"/>
                      <w:szCs w:val="21"/>
                    </w:rPr>
                  </w:pPr>
                  <w:r>
                    <w:rPr>
                      <w:rFonts w:hint="eastAsia"/>
                      <w:sz w:val="21"/>
                      <w:szCs w:val="21"/>
                    </w:rPr>
                    <w:t>《污水排入城镇下水道水质标准》（GB/T 31962-2015)</w:t>
                  </w:r>
                </w:p>
              </w:tc>
            </w:tr>
          </w:tbl>
          <w:p>
            <w:pPr>
              <w:pStyle w:val="22"/>
              <w:adjustRightInd/>
              <w:ind w:firstLine="482"/>
              <w:rPr>
                <w:b/>
                <w:bCs/>
              </w:rPr>
            </w:pPr>
            <w:r>
              <w:rPr>
                <w:b/>
                <w:bCs/>
              </w:rPr>
              <w:t>2、废气</w:t>
            </w:r>
          </w:p>
          <w:p>
            <w:pPr>
              <w:pStyle w:val="22"/>
              <w:adjustRightInd/>
              <w:ind w:firstLine="480"/>
            </w:pPr>
            <w:r>
              <w:t>本项目</w:t>
            </w:r>
            <w:r>
              <w:rPr>
                <w:rFonts w:hint="eastAsia"/>
              </w:rPr>
              <w:t>营运期</w:t>
            </w:r>
            <w:r>
              <w:t>产生的</w:t>
            </w:r>
            <w:r>
              <w:rPr>
                <w:rFonts w:hint="eastAsia"/>
                <w:lang w:eastAsia="zh-CN"/>
              </w:rPr>
              <w:t>配料、</w:t>
            </w:r>
            <w:r>
              <w:rPr>
                <w:rFonts w:hint="eastAsia"/>
              </w:rPr>
              <w:t>和面粉尘</w:t>
            </w:r>
            <w:r>
              <w:t>，执行《大气污染物综合排放标准》 （GB16297-1996）表2</w:t>
            </w:r>
            <w:r>
              <w:rPr>
                <w:rFonts w:hint="eastAsia"/>
              </w:rPr>
              <w:t>中</w:t>
            </w:r>
            <w:r>
              <w:t>无组织排放监控浓度限值。</w:t>
            </w:r>
          </w:p>
          <w:p>
            <w:pPr>
              <w:pStyle w:val="22"/>
              <w:ind w:firstLine="0" w:firstLineChars="0"/>
              <w:jc w:val="center"/>
              <w:rPr>
                <w:b/>
                <w:bCs/>
              </w:rPr>
            </w:pPr>
            <w:r>
              <w:rPr>
                <w:b/>
                <w:bCs/>
              </w:rPr>
              <w:t>表</w:t>
            </w:r>
            <w:r>
              <w:rPr>
                <w:rFonts w:hint="eastAsia"/>
                <w:b/>
                <w:bCs/>
                <w:lang w:val="en-US" w:eastAsia="zh-CN"/>
              </w:rPr>
              <w:t>1</w:t>
            </w:r>
            <w:r>
              <w:rPr>
                <w:rFonts w:hint="eastAsia"/>
                <w:b/>
                <w:bCs/>
              </w:rPr>
              <w:t>-</w:t>
            </w:r>
            <w:r>
              <w:rPr>
                <w:rFonts w:hint="eastAsia"/>
                <w:b/>
                <w:bCs/>
                <w:lang w:val="en-US" w:eastAsia="zh-CN"/>
              </w:rPr>
              <w:t>2</w:t>
            </w:r>
            <w:r>
              <w:rPr>
                <w:b/>
                <w:bCs/>
              </w:rPr>
              <w:t>大气污染物综合排放标准限值</w:t>
            </w:r>
          </w:p>
          <w:tbl>
            <w:tblPr>
              <w:tblStyle w:val="17"/>
              <w:tblW w:w="7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2022"/>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109" w:type="dxa"/>
                  <w:noWrap w:val="0"/>
                  <w:vAlign w:val="center"/>
                </w:tcPr>
                <w:p>
                  <w:pPr>
                    <w:jc w:val="center"/>
                  </w:pPr>
                  <w:r>
                    <w:t>污染物名称</w:t>
                  </w:r>
                </w:p>
              </w:tc>
              <w:tc>
                <w:tcPr>
                  <w:tcW w:w="2022" w:type="dxa"/>
                  <w:noWrap w:val="0"/>
                  <w:vAlign w:val="center"/>
                </w:tcPr>
                <w:p>
                  <w:pPr>
                    <w:jc w:val="center"/>
                  </w:pPr>
                  <w:r>
                    <w:t>无组织排放监控浓度限值（mg/m3）</w:t>
                  </w:r>
                </w:p>
              </w:tc>
              <w:tc>
                <w:tcPr>
                  <w:tcW w:w="4087" w:type="dxa"/>
                  <w:noWrap w:val="0"/>
                  <w:vAlign w:val="center"/>
                </w:tcPr>
                <w:p>
                  <w:pPr>
                    <w:jc w:val="center"/>
                  </w:pPr>
                  <w: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1109" w:type="dxa"/>
                  <w:noWrap w:val="0"/>
                  <w:vAlign w:val="center"/>
                </w:tcPr>
                <w:p>
                  <w:pPr>
                    <w:jc w:val="center"/>
                  </w:pPr>
                  <w:r>
                    <w:t>颗粒物</w:t>
                  </w:r>
                </w:p>
              </w:tc>
              <w:tc>
                <w:tcPr>
                  <w:tcW w:w="2022" w:type="dxa"/>
                  <w:noWrap w:val="0"/>
                  <w:vAlign w:val="center"/>
                </w:tcPr>
                <w:p>
                  <w:pPr>
                    <w:jc w:val="center"/>
                  </w:pPr>
                  <w:r>
                    <w:t>1.0</w:t>
                  </w:r>
                </w:p>
              </w:tc>
              <w:tc>
                <w:tcPr>
                  <w:tcW w:w="4087" w:type="dxa"/>
                  <w:noWrap w:val="0"/>
                  <w:vAlign w:val="center"/>
                </w:tcPr>
                <w:p>
                  <w:pPr>
                    <w:jc w:val="center"/>
                  </w:pPr>
                  <w:r>
                    <w:t>《大气污染物综合排放标准》（GB16297-1996）表2无组织排放监控浓度限值</w:t>
                  </w:r>
                </w:p>
              </w:tc>
            </w:tr>
          </w:tbl>
          <w:p>
            <w:pPr>
              <w:pStyle w:val="22"/>
              <w:adjustRightInd/>
              <w:ind w:firstLine="482"/>
              <w:rPr>
                <w:rFonts w:hint="eastAsia"/>
                <w:b/>
                <w:bCs/>
              </w:rPr>
            </w:pPr>
            <w:r>
              <w:rPr>
                <w:rFonts w:hint="eastAsia"/>
                <w:b/>
                <w:bCs/>
              </w:rPr>
              <w:t>3、噪声</w:t>
            </w:r>
          </w:p>
          <w:p>
            <w:pPr>
              <w:pStyle w:val="22"/>
              <w:adjustRightInd/>
              <w:ind w:firstLine="480"/>
            </w:pPr>
            <w:r>
              <w:t>本项目营运期厂界东、西、</w:t>
            </w:r>
            <w:r>
              <w:rPr>
                <w:rFonts w:hint="eastAsia"/>
              </w:rPr>
              <w:t>南、</w:t>
            </w:r>
            <w:r>
              <w:t>北侧执行《工业企业厂界环境噪声排放标准》（GB12348-2008）</w:t>
            </w:r>
            <w:r>
              <w:rPr>
                <w:rFonts w:hint="eastAsia"/>
              </w:rPr>
              <w:t>3</w:t>
            </w:r>
            <w:r>
              <w:t>类标准。详见表</w:t>
            </w:r>
            <w:r>
              <w:rPr>
                <w:rFonts w:hint="eastAsia"/>
                <w:lang w:eastAsia="zh-CN"/>
              </w:rPr>
              <w:t>下表</w:t>
            </w:r>
            <w:r>
              <w:t>。</w:t>
            </w:r>
          </w:p>
          <w:p>
            <w:pPr>
              <w:pStyle w:val="22"/>
              <w:adjustRightInd/>
              <w:ind w:firstLine="0" w:firstLineChars="0"/>
              <w:jc w:val="center"/>
              <w:rPr>
                <w:b/>
                <w:bCs/>
              </w:rPr>
            </w:pPr>
            <w:r>
              <w:rPr>
                <w:b/>
                <w:bCs/>
              </w:rPr>
              <w:t>表</w:t>
            </w:r>
            <w:r>
              <w:rPr>
                <w:rFonts w:hint="eastAsia"/>
                <w:b/>
                <w:bCs/>
                <w:lang w:val="en-US" w:eastAsia="zh-CN"/>
              </w:rPr>
              <w:t>1-3</w:t>
            </w:r>
            <w:r>
              <w:rPr>
                <w:b/>
                <w:bCs/>
              </w:rPr>
              <w:t xml:space="preserve"> 工业企业厂界环境噪声排放标准</w:t>
            </w:r>
          </w:p>
          <w:tbl>
            <w:tblPr>
              <w:tblStyle w:val="17"/>
              <w:tblW w:w="71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2400"/>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exact"/>
              </w:trPr>
              <w:tc>
                <w:tcPr>
                  <w:tcW w:w="2399" w:type="dxa"/>
                  <w:vMerge w:val="restart"/>
                  <w:noWrap w:val="0"/>
                  <w:vAlign w:val="center"/>
                </w:tcPr>
                <w:p>
                  <w:pPr>
                    <w:pStyle w:val="22"/>
                    <w:adjustRightInd/>
                    <w:ind w:firstLine="0" w:firstLineChars="0"/>
                    <w:jc w:val="center"/>
                  </w:pPr>
                  <w:r>
                    <w:t>标准类别</w:t>
                  </w:r>
                </w:p>
              </w:tc>
              <w:tc>
                <w:tcPr>
                  <w:tcW w:w="4800" w:type="dxa"/>
                  <w:gridSpan w:val="2"/>
                  <w:noWrap w:val="0"/>
                  <w:vAlign w:val="top"/>
                </w:tcPr>
                <w:p>
                  <w:pPr>
                    <w:pStyle w:val="22"/>
                    <w:adjustRightInd/>
                    <w:ind w:firstLine="0" w:firstLineChars="0"/>
                    <w:jc w:val="center"/>
                  </w:pPr>
                  <w:r>
                    <w:t>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trPr>
              <w:tc>
                <w:tcPr>
                  <w:tcW w:w="2399" w:type="dxa"/>
                  <w:vMerge w:val="continue"/>
                  <w:noWrap w:val="0"/>
                  <w:vAlign w:val="top"/>
                </w:tcPr>
                <w:p>
                  <w:pPr>
                    <w:pStyle w:val="22"/>
                    <w:adjustRightInd/>
                    <w:ind w:firstLine="0" w:firstLineChars="0"/>
                    <w:jc w:val="center"/>
                  </w:pPr>
                </w:p>
              </w:tc>
              <w:tc>
                <w:tcPr>
                  <w:tcW w:w="2400" w:type="dxa"/>
                  <w:noWrap w:val="0"/>
                  <w:vAlign w:val="top"/>
                </w:tcPr>
                <w:p>
                  <w:pPr>
                    <w:pStyle w:val="22"/>
                    <w:adjustRightInd/>
                    <w:ind w:firstLine="0" w:firstLineChars="0"/>
                    <w:jc w:val="center"/>
                  </w:pPr>
                  <w:r>
                    <w:t>昼间dB（A）</w:t>
                  </w:r>
                </w:p>
              </w:tc>
              <w:tc>
                <w:tcPr>
                  <w:tcW w:w="2400" w:type="dxa"/>
                  <w:noWrap w:val="0"/>
                  <w:vAlign w:val="top"/>
                </w:tcPr>
                <w:p>
                  <w:pPr>
                    <w:pStyle w:val="22"/>
                    <w:adjustRightInd/>
                    <w:ind w:firstLine="0" w:firstLineChars="0"/>
                    <w:jc w:val="center"/>
                  </w:pPr>
                  <w:r>
                    <w:t>夜间dB（A）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exact"/>
              </w:trPr>
              <w:tc>
                <w:tcPr>
                  <w:tcW w:w="2399" w:type="dxa"/>
                  <w:noWrap w:val="0"/>
                  <w:vAlign w:val="top"/>
                </w:tcPr>
                <w:p>
                  <w:pPr>
                    <w:pStyle w:val="22"/>
                    <w:adjustRightInd/>
                    <w:ind w:firstLine="0" w:firstLineChars="0"/>
                    <w:jc w:val="center"/>
                  </w:pPr>
                  <w:r>
                    <w:rPr>
                      <w:rFonts w:hint="eastAsia"/>
                    </w:rPr>
                    <w:t>3</w:t>
                  </w:r>
                  <w:r>
                    <w:t>类</w:t>
                  </w:r>
                </w:p>
              </w:tc>
              <w:tc>
                <w:tcPr>
                  <w:tcW w:w="2400" w:type="dxa"/>
                  <w:noWrap w:val="0"/>
                  <w:vAlign w:val="top"/>
                </w:tcPr>
                <w:p>
                  <w:pPr>
                    <w:pStyle w:val="22"/>
                    <w:adjustRightInd/>
                    <w:ind w:firstLine="0" w:firstLineChars="0"/>
                    <w:jc w:val="center"/>
                  </w:pPr>
                  <w:r>
                    <w:t>6</w:t>
                  </w:r>
                  <w:r>
                    <w:rPr>
                      <w:rFonts w:hint="eastAsia"/>
                    </w:rPr>
                    <w:t>5</w:t>
                  </w:r>
                </w:p>
              </w:tc>
              <w:tc>
                <w:tcPr>
                  <w:tcW w:w="2400" w:type="dxa"/>
                  <w:noWrap w:val="0"/>
                  <w:vAlign w:val="top"/>
                </w:tcPr>
                <w:p>
                  <w:pPr>
                    <w:pStyle w:val="22"/>
                    <w:adjustRightInd/>
                    <w:ind w:firstLine="0" w:firstLineChars="0"/>
                    <w:jc w:val="center"/>
                  </w:pPr>
                  <w:r>
                    <w:t>5</w:t>
                  </w:r>
                  <w:r>
                    <w:rPr>
                      <w:rFonts w:hint="eastAsia"/>
                    </w:rPr>
                    <w:t>5</w:t>
                  </w:r>
                </w:p>
              </w:tc>
            </w:tr>
          </w:tbl>
          <w:p>
            <w:pPr>
              <w:pStyle w:val="22"/>
              <w:adjustRightInd/>
              <w:ind w:left="0" w:leftChars="0" w:firstLine="0" w:firstLineChars="0"/>
              <w:jc w:val="both"/>
              <w:rPr>
                <w:rFonts w:hint="eastAsia"/>
              </w:rPr>
            </w:pPr>
            <w:r>
              <w:rPr>
                <w:rFonts w:hint="eastAsia"/>
                <w:lang w:val="en-US" w:eastAsia="zh-CN"/>
              </w:rPr>
              <w:t xml:space="preserve">   </w:t>
            </w:r>
            <w:r>
              <w:rPr>
                <w:rFonts w:hint="eastAsia"/>
                <w:b/>
                <w:bCs/>
              </w:rPr>
              <w:t>4、固体废弃物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eastAsia="宋体"/>
                <w:sz w:val="24"/>
                <w:szCs w:val="24"/>
                <w:lang w:eastAsia="zh-CN"/>
              </w:rPr>
            </w:pPr>
            <w:r>
              <w:rPr>
                <w:sz w:val="24"/>
                <w:szCs w:val="24"/>
              </w:rPr>
              <w:t>一般工业固体废物污染控制执行《一般工业固体废物贮存</w:t>
            </w:r>
            <w:r>
              <w:rPr>
                <w:rFonts w:hint="eastAsia"/>
                <w:sz w:val="24"/>
                <w:szCs w:val="24"/>
                <w:lang w:eastAsia="zh-CN"/>
              </w:rPr>
              <w:t>和填埋</w:t>
            </w:r>
            <w:r>
              <w:rPr>
                <w:sz w:val="24"/>
                <w:szCs w:val="24"/>
              </w:rPr>
              <w:t>污染控制标准》（GB18599-20</w:t>
            </w:r>
            <w:r>
              <w:rPr>
                <w:rFonts w:hint="eastAsia"/>
                <w:sz w:val="24"/>
                <w:szCs w:val="24"/>
                <w:lang w:val="en-US" w:eastAsia="zh-CN"/>
              </w:rPr>
              <w:t>20</w:t>
            </w:r>
            <w:r>
              <w:rPr>
                <w:sz w:val="24"/>
                <w:szCs w:val="24"/>
              </w:rPr>
              <w:t>）</w:t>
            </w:r>
            <w:r>
              <w:rPr>
                <w:rFonts w:hint="eastAsia"/>
                <w:sz w:val="24"/>
                <w:szCs w:val="24"/>
                <w:lang w:eastAsia="zh-CN"/>
              </w:rPr>
              <w:t>。</w:t>
            </w:r>
          </w:p>
          <w:p>
            <w:pPr>
              <w:pStyle w:val="11"/>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p>
          <w:p/>
          <w:p>
            <w:pPr>
              <w:pStyle w:val="11"/>
            </w:pPr>
          </w:p>
          <w:p/>
          <w:p>
            <w:pPr>
              <w:pStyle w:val="11"/>
            </w:pPr>
          </w:p>
          <w:p/>
          <w:p>
            <w:pPr>
              <w:pStyle w:val="11"/>
            </w:pPr>
          </w:p>
          <w:p/>
          <w:p>
            <w:pPr>
              <w:pStyle w:val="11"/>
            </w:pPr>
          </w:p>
          <w:p/>
          <w:p>
            <w:pPr>
              <w:pStyle w:val="11"/>
            </w:pPr>
          </w:p>
          <w:p/>
          <w:p>
            <w:pPr>
              <w:pStyle w:val="11"/>
            </w:pPr>
          </w:p>
          <w:p/>
          <w:p>
            <w:pPr>
              <w:pStyle w:val="11"/>
            </w:pPr>
          </w:p>
          <w:p/>
          <w:p>
            <w:pPr>
              <w:pStyle w:val="11"/>
            </w:pPr>
          </w:p>
          <w:p/>
          <w:p>
            <w:pPr>
              <w:pStyle w:val="11"/>
            </w:pPr>
          </w:p>
          <w:p/>
          <w:p>
            <w:pPr>
              <w:pStyle w:val="11"/>
            </w:pPr>
          </w:p>
          <w:p/>
          <w:p>
            <w:pPr>
              <w:pStyle w:val="11"/>
            </w:pPr>
          </w:p>
          <w:p/>
          <w:p>
            <w:pPr>
              <w:rPr>
                <w:rFonts w:hint="default"/>
                <w:lang w:val="en-US" w:eastAsia="zh-CN"/>
              </w:rPr>
            </w:pPr>
          </w:p>
        </w:tc>
      </w:tr>
    </w:tbl>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cs="Times New Roman"/>
          <w:b/>
          <w:sz w:val="28"/>
          <w:szCs w:val="28"/>
          <w:lang w:val="en-US" w:eastAsia="zh-CN"/>
        </w:rPr>
      </w:pPr>
      <w:bookmarkStart w:id="3" w:name="_Toc14438"/>
      <w:bookmarkStart w:id="4" w:name="_Toc9610"/>
      <w:bookmarkStart w:id="5" w:name="_Toc5711"/>
      <w:r>
        <w:rPr>
          <w:rFonts w:hint="eastAsia" w:cs="Times New Roman"/>
          <w:b/>
          <w:sz w:val="28"/>
          <w:szCs w:val="28"/>
          <w:lang w:val="en-US" w:eastAsia="zh-CN"/>
        </w:rPr>
        <w:t>表二  工程概况</w:t>
      </w:r>
      <w:bookmarkEnd w:id="3"/>
      <w:bookmarkEnd w:id="4"/>
      <w:bookmarkEnd w:id="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1、项目建设内容</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lang w:val="en-US" w:eastAsia="zh-CN"/>
              </w:rPr>
            </w:pPr>
            <w:r>
              <w:rPr>
                <w:rFonts w:hint="eastAsia"/>
                <w:lang w:val="en-US" w:eastAsia="zh-CN"/>
              </w:rPr>
              <w:t>安徽丰十味食品有限公司成立于2020年4月，注册资金500万，该项目是以生产蛋挞液、蛋挞皮等蛋挞半成品。安徽丰十味食品有限公司租赁</w:t>
            </w:r>
            <w:r>
              <w:rPr>
                <w:rFonts w:hint="default" w:ascii="Times New Roman" w:hAnsi="Times New Roman" w:cs="Times New Roman"/>
              </w:rPr>
              <w:t>安徽省合肥市巢湖市居巢经济开发区安成路与前进路交叉口标准</w:t>
            </w:r>
            <w:r>
              <w:t>化7#厂房三层西</w:t>
            </w:r>
            <w:r>
              <w:rPr>
                <w:rFonts w:hint="eastAsia"/>
                <w:lang w:eastAsia="zh-CN"/>
              </w:rPr>
              <w:t>新建年产</w:t>
            </w:r>
            <w:r>
              <w:rPr>
                <w:rFonts w:hint="eastAsia"/>
                <w:lang w:val="en-US" w:eastAsia="zh-CN"/>
              </w:rPr>
              <w:t>3000吨蛋挞半成品项目。</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lang w:val="en-US" w:eastAsia="zh-CN"/>
              </w:rPr>
            </w:pPr>
            <w:r>
              <w:rPr>
                <w:rFonts w:hint="eastAsia"/>
                <w:lang w:val="en-US" w:eastAsia="zh-CN"/>
              </w:rPr>
              <w:t>本</w:t>
            </w:r>
            <w:r>
              <w:rPr>
                <w:rFonts w:hint="eastAsia"/>
                <w:szCs w:val="24"/>
              </w:rPr>
              <w:t>项目</w:t>
            </w:r>
            <w:r>
              <w:rPr>
                <w:rFonts w:hint="eastAsia"/>
                <w:szCs w:val="24"/>
                <w:lang w:eastAsia="zh-CN"/>
              </w:rPr>
              <w:t>于</w:t>
            </w:r>
            <w:r>
              <w:rPr>
                <w:rFonts w:hint="eastAsia"/>
                <w:szCs w:val="24"/>
                <w:lang w:val="en-US" w:eastAsia="zh-CN"/>
              </w:rPr>
              <w:t>2020年5月6日经</w:t>
            </w:r>
            <w:r>
              <w:rPr>
                <w:rFonts w:hint="eastAsia"/>
                <w:szCs w:val="24"/>
              </w:rPr>
              <w:t>巢湖市发展和改革委员</w:t>
            </w:r>
            <w:r>
              <w:rPr>
                <w:rFonts w:hint="eastAsia"/>
                <w:szCs w:val="24"/>
                <w:lang w:eastAsia="zh-CN"/>
              </w:rPr>
              <w:t>会对年产</w:t>
            </w:r>
            <w:r>
              <w:rPr>
                <w:rFonts w:hint="eastAsia"/>
                <w:szCs w:val="24"/>
                <w:lang w:val="en-US" w:eastAsia="zh-CN"/>
              </w:rPr>
              <w:t>3000吨蛋挞半成品项目备案，</w:t>
            </w:r>
            <w:r>
              <w:rPr>
                <w:rFonts w:hint="eastAsia"/>
                <w:szCs w:val="24"/>
              </w:rPr>
              <w:t>项目</w:t>
            </w:r>
            <w:r>
              <w:rPr>
                <w:rFonts w:hint="eastAsia"/>
                <w:szCs w:val="24"/>
                <w:lang w:eastAsia="zh-CN"/>
              </w:rPr>
              <w:t>备案</w:t>
            </w:r>
            <w:r>
              <w:rPr>
                <w:rFonts w:hint="eastAsia"/>
                <w:szCs w:val="24"/>
              </w:rPr>
              <w:t>代码为：2020-340181-14-03-018644</w:t>
            </w:r>
            <w:r>
              <w:rPr>
                <w:rFonts w:hint="eastAsia"/>
                <w:szCs w:val="24"/>
                <w:lang w:eastAsia="zh-CN"/>
              </w:rPr>
              <w:t>。企业于</w:t>
            </w:r>
            <w:r>
              <w:rPr>
                <w:rFonts w:hint="eastAsia"/>
                <w:szCs w:val="24"/>
                <w:lang w:val="en-US" w:eastAsia="zh-CN"/>
              </w:rPr>
              <w:t>2020年5月委托安徽绿环环保科技有限公司</w:t>
            </w:r>
            <w:r>
              <w:rPr>
                <w:rFonts w:hint="eastAsia"/>
                <w:lang w:val="en-US" w:eastAsia="zh-CN"/>
              </w:rPr>
              <w:t>编制建设项目环境影响报告表，2020年8月18日巢湖市环境保护局以巢环审</w:t>
            </w:r>
            <w:r>
              <w:rPr>
                <w:rFonts w:hint="eastAsia" w:ascii="宋体" w:hAnsi="宋体" w:eastAsia="宋体" w:cs="宋体"/>
                <w:lang w:val="en-US" w:eastAsia="zh-CN"/>
              </w:rPr>
              <w:t>【2020】</w:t>
            </w:r>
            <w:r>
              <w:rPr>
                <w:rFonts w:hint="eastAsia" w:hAnsi="宋体" w:cs="宋体"/>
                <w:lang w:val="en-US" w:eastAsia="zh-CN"/>
              </w:rPr>
              <w:t>60号文对此进行了批复。</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lang w:val="en-US" w:eastAsia="zh-CN"/>
              </w:rPr>
            </w:pPr>
            <w:r>
              <w:rPr>
                <w:rFonts w:hint="eastAsia" w:hAnsi="宋体" w:cs="宋体"/>
                <w:lang w:val="en-US" w:eastAsia="zh-CN"/>
              </w:rPr>
              <w:t>2021年1月，安徽丰十味食品有限公司年产3000吨蛋挞半成品项目的主题工程、辅助工程、储存工程、公用工程、环保工程已完成，且可做到稳定生产，各项环保设施已按环评要求落实到位。</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lang w:val="en-US" w:eastAsia="zh-CN"/>
              </w:rPr>
            </w:pPr>
            <w:r>
              <w:rPr>
                <w:rFonts w:hint="eastAsia" w:hAnsi="宋体" w:cs="宋体"/>
                <w:lang w:val="en-US" w:eastAsia="zh-CN"/>
              </w:rPr>
              <w:t>根据《中华人民共和国环境保护法》、《建设项目环境保护管理条例》（2017年修订）及《建设项目竣工环境保护验收暂行办法》有关建设项目环境管理规定，安徽丰十味食品有限公司委托巢湖市亚庆环保科技有限公司东塘路分公司进行该项目的阶段性竣工环境保护验收工作。通过对现场进行实地调查，应建的环保设施已建成使用，可以开展竣工验收工作。本项目为阶段性验收，具体包括项目的主体工程（蛋挞皮、蛋挞液）、辅助工程、储运工程以及环保工程。</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firstLine="482" w:firstLineChars="200"/>
              <w:jc w:val="both"/>
              <w:textAlignment w:val="auto"/>
              <w:rPr>
                <w:rFonts w:hint="eastAsia" w:hAnsi="宋体" w:cs="宋体"/>
                <w:b/>
                <w:bCs/>
                <w:lang w:val="en-US" w:eastAsia="zh-CN"/>
              </w:rPr>
            </w:pPr>
            <w:r>
              <w:rPr>
                <w:rFonts w:hint="eastAsia" w:hAnsi="宋体" w:cs="宋体"/>
                <w:b/>
                <w:bCs/>
                <w:lang w:val="en-US" w:eastAsia="zh-CN"/>
              </w:rPr>
              <w:t>工程建设内容</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highlight w:val="none"/>
                <w:lang w:val="en-US" w:eastAsia="zh-CN"/>
              </w:rPr>
            </w:pPr>
            <w:r>
              <w:rPr>
                <w:rFonts w:hint="eastAsia" w:hAnsi="宋体" w:cs="宋体"/>
                <w:lang w:val="en-US" w:eastAsia="zh-CN"/>
              </w:rPr>
              <w:t>本项目总投资16</w:t>
            </w:r>
            <w:r>
              <w:rPr>
                <w:rFonts w:hint="eastAsia" w:hAnsi="宋体" w:cs="宋体"/>
                <w:highlight w:val="none"/>
                <w:lang w:val="en-US" w:eastAsia="zh-CN"/>
              </w:rPr>
              <w:t>0万，其中环保投资2万，项目由主体工程（生产车间）、辅助工程（办公区、员工更衣洗消区）储运工程（原辅料仓库、成品仓库）、公用工程（供水、供电、排水）、环保工程（废气处理设施、废水处理设施、噪声、固废等）项目建成后蛋挞皮1560吨/年、蛋挞液390吨/年。项目详情内容见下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cs="宋体"/>
                <w:b/>
                <w:bCs/>
                <w:highlight w:val="none"/>
                <w:lang w:val="en-US" w:eastAsia="zh-CN"/>
              </w:rPr>
            </w:pPr>
            <w:r>
              <w:rPr>
                <w:rFonts w:hint="eastAsia" w:hAnsi="宋体" w:cs="宋体"/>
                <w:b/>
                <w:bCs/>
                <w:highlight w:val="none"/>
                <w:lang w:val="en-US" w:eastAsia="zh-CN"/>
              </w:rPr>
              <w:t>表 2-1项目主要建设内容一览表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662"/>
              <w:gridCol w:w="3286"/>
              <w:gridCol w:w="2774"/>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5"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工程</w:t>
                  </w:r>
                </w:p>
              </w:tc>
              <w:tc>
                <w:tcPr>
                  <w:tcW w:w="328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环评建设内容</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实际建设内容</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主体工程</w:t>
                  </w:r>
                </w:p>
              </w:tc>
              <w:tc>
                <w:tcPr>
                  <w:tcW w:w="662"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生产车间</w:t>
                  </w:r>
                </w:p>
              </w:tc>
              <w:tc>
                <w:tcPr>
                  <w:tcW w:w="328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default" w:hAnsi="宋体" w:cs="宋体"/>
                      <w:sz w:val="21"/>
                      <w:szCs w:val="21"/>
                      <w:highlight w:val="none"/>
                      <w:vertAlign w:val="baseline"/>
                      <w:lang w:val="en-US" w:eastAsia="zh-CN"/>
                    </w:rPr>
                    <w:t>生产厂房设有两个加工车间，加工车间一160m</w:t>
                  </w:r>
                  <w:r>
                    <w:rPr>
                      <w:rFonts w:hint="default" w:hAnsi="宋体" w:cs="宋体"/>
                      <w:sz w:val="21"/>
                      <w:szCs w:val="21"/>
                      <w:highlight w:val="none"/>
                      <w:vertAlign w:val="superscript"/>
                      <w:lang w:val="en-US" w:eastAsia="zh-CN"/>
                    </w:rPr>
                    <w:t>2</w:t>
                  </w:r>
                  <w:r>
                    <w:rPr>
                      <w:rFonts w:hint="default" w:hAnsi="宋体" w:cs="宋体"/>
                      <w:sz w:val="21"/>
                      <w:szCs w:val="21"/>
                      <w:highlight w:val="none"/>
                      <w:vertAlign w:val="baseline"/>
                      <w:lang w:val="en-US" w:eastAsia="zh-CN"/>
                    </w:rPr>
                    <w:t>；加工车间二120m</w:t>
                  </w:r>
                  <w:r>
                    <w:rPr>
                      <w:rFonts w:hint="default" w:hAnsi="宋体" w:cs="宋体"/>
                      <w:sz w:val="21"/>
                      <w:szCs w:val="21"/>
                      <w:highlight w:val="none"/>
                      <w:vertAlign w:val="superscript"/>
                      <w:lang w:val="en-US" w:eastAsia="zh-CN"/>
                    </w:rPr>
                    <w:t>2</w:t>
                  </w:r>
                  <w:r>
                    <w:rPr>
                      <w:rFonts w:hint="default" w:hAnsi="宋体" w:cs="宋体"/>
                      <w:sz w:val="21"/>
                      <w:szCs w:val="21"/>
                      <w:highlight w:val="none"/>
                      <w:vertAlign w:val="baseline"/>
                      <w:lang w:val="en-US" w:eastAsia="zh-CN"/>
                    </w:rPr>
                    <w:t>；配置蛋挞皮、手抓饼、蛋挞液生产线及配套的公用、环保等设施</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default" w:hAnsi="宋体" w:cs="宋体"/>
                      <w:sz w:val="21"/>
                      <w:szCs w:val="21"/>
                      <w:highlight w:val="none"/>
                      <w:vertAlign w:val="baseline"/>
                      <w:lang w:val="en-US" w:eastAsia="zh-CN"/>
                    </w:rPr>
                    <w:t>厂房设有</w:t>
                  </w:r>
                  <w:r>
                    <w:rPr>
                      <w:rFonts w:hint="eastAsia" w:hAnsi="宋体" w:cs="宋体"/>
                      <w:sz w:val="21"/>
                      <w:szCs w:val="21"/>
                      <w:highlight w:val="none"/>
                      <w:vertAlign w:val="baseline"/>
                      <w:lang w:val="en-US" w:eastAsia="zh-CN"/>
                    </w:rPr>
                    <w:t>1个</w:t>
                  </w:r>
                  <w:r>
                    <w:rPr>
                      <w:rFonts w:hint="default" w:hAnsi="宋体" w:cs="宋体"/>
                      <w:sz w:val="21"/>
                      <w:szCs w:val="21"/>
                      <w:highlight w:val="none"/>
                      <w:vertAlign w:val="baseline"/>
                      <w:lang w:val="en-US" w:eastAsia="zh-CN"/>
                    </w:rPr>
                    <w:t>工车间，加工车</w:t>
                  </w:r>
                  <w:r>
                    <w:rPr>
                      <w:rFonts w:hint="eastAsia" w:hAnsi="宋体" w:cs="宋体"/>
                      <w:sz w:val="21"/>
                      <w:szCs w:val="21"/>
                      <w:highlight w:val="none"/>
                      <w:vertAlign w:val="baseline"/>
                      <w:lang w:val="en-US" w:eastAsia="zh-CN"/>
                    </w:rPr>
                    <w:t>280㎡</w:t>
                  </w:r>
                  <w:r>
                    <w:rPr>
                      <w:rFonts w:hint="default" w:hAnsi="宋体" w:cs="宋体"/>
                      <w:sz w:val="21"/>
                      <w:szCs w:val="21"/>
                      <w:highlight w:val="none"/>
                      <w:vertAlign w:val="baseline"/>
                      <w:lang w:val="en-US" w:eastAsia="zh-CN"/>
                    </w:rPr>
                    <w:t>；配置蛋挞皮、蛋挞液生产线及配套的公用、环保等设施</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只验收蛋挞皮、蛋挞液生产线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restart"/>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辅助工程</w:t>
                  </w:r>
                </w:p>
              </w:tc>
              <w:tc>
                <w:tcPr>
                  <w:tcW w:w="662" w:type="dxa"/>
                  <w:noWrap w:val="0"/>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Calibri" w:hAnsi="Calibri" w:eastAsia="宋体" w:cs="Times New Roman"/>
                      <w:kern w:val="2"/>
                      <w:sz w:val="21"/>
                      <w:szCs w:val="21"/>
                      <w:lang w:val="en-US" w:eastAsia="zh-CN" w:bidi="ar-SA"/>
                    </w:rPr>
                  </w:pPr>
                  <w:r>
                    <w:rPr>
                      <w:sz w:val="21"/>
                      <w:szCs w:val="21"/>
                    </w:rPr>
                    <w:t>办公区</w:t>
                  </w:r>
                </w:p>
              </w:tc>
              <w:tc>
                <w:tcPr>
                  <w:tcW w:w="3286"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办公室1间、接待室1间。</w:t>
                  </w:r>
                </w:p>
              </w:tc>
              <w:tc>
                <w:tcPr>
                  <w:tcW w:w="2774"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办公室1间、接待室1间。</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Calibri" w:hAnsi="Calibri" w:eastAsia="宋体" w:cs="Times New Roman"/>
                      <w:kern w:val="2"/>
                      <w:sz w:val="21"/>
                      <w:szCs w:val="21"/>
                      <w:lang w:val="en-US" w:eastAsia="zh-CN" w:bidi="ar-SA"/>
                    </w:rPr>
                  </w:pPr>
                  <w:r>
                    <w:rPr>
                      <w:sz w:val="21"/>
                      <w:szCs w:val="21"/>
                    </w:rPr>
                    <w:t>员工更衣洗消区</w:t>
                  </w:r>
                </w:p>
              </w:tc>
              <w:tc>
                <w:tcPr>
                  <w:tcW w:w="3286"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男、女更衣室各1间</w:t>
                  </w:r>
                  <w:r>
                    <w:rPr>
                      <w:rFonts w:hint="eastAsia"/>
                      <w:sz w:val="21"/>
                      <w:szCs w:val="21"/>
                    </w:rPr>
                    <w:t>，</w:t>
                  </w:r>
                  <w:r>
                    <w:rPr>
                      <w:sz w:val="21"/>
                      <w:szCs w:val="21"/>
                    </w:rPr>
                    <w:t>风淋室1间。</w:t>
                  </w:r>
                </w:p>
              </w:tc>
              <w:tc>
                <w:tcPr>
                  <w:tcW w:w="2774"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男、女更衣室各1间</w:t>
                  </w:r>
                  <w:r>
                    <w:rPr>
                      <w:rFonts w:hint="eastAsia"/>
                      <w:sz w:val="21"/>
                      <w:szCs w:val="21"/>
                    </w:rPr>
                    <w:t>，</w:t>
                  </w:r>
                  <w:r>
                    <w:rPr>
                      <w:sz w:val="21"/>
                      <w:szCs w:val="21"/>
                    </w:rPr>
                    <w:t>风淋室1间。</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restart"/>
                  <w:noWrap w:val="0"/>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sz w:val="21"/>
                      <w:szCs w:val="21"/>
                    </w:rPr>
                  </w:pPr>
                  <w:r>
                    <w:rPr>
                      <w:sz w:val="21"/>
                      <w:szCs w:val="21"/>
                    </w:rPr>
                    <w:t>储运</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Calibri" w:hAnsi="Calibri" w:eastAsia="宋体" w:cs="Times New Roman"/>
                      <w:kern w:val="2"/>
                      <w:sz w:val="21"/>
                      <w:szCs w:val="21"/>
                      <w:lang w:val="en-US" w:eastAsia="zh-CN" w:bidi="ar-SA"/>
                    </w:rPr>
                  </w:pPr>
                  <w:r>
                    <w:rPr>
                      <w:sz w:val="21"/>
                      <w:szCs w:val="21"/>
                    </w:rPr>
                    <w:t>工程</w:t>
                  </w:r>
                </w:p>
              </w:tc>
              <w:tc>
                <w:tcPr>
                  <w:tcW w:w="662" w:type="dxa"/>
                  <w:noWrap w:val="0"/>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Calibri" w:hAnsi="Calibri" w:eastAsia="宋体" w:cs="Times New Roman"/>
                      <w:kern w:val="2"/>
                      <w:sz w:val="21"/>
                      <w:szCs w:val="21"/>
                      <w:lang w:val="en-US" w:eastAsia="zh-CN" w:bidi="ar-SA"/>
                    </w:rPr>
                  </w:pPr>
                  <w:r>
                    <w:rPr>
                      <w:sz w:val="21"/>
                      <w:szCs w:val="21"/>
                    </w:rPr>
                    <w:t>原辅料</w:t>
                  </w:r>
                  <w:r>
                    <w:rPr>
                      <w:rFonts w:hint="eastAsia"/>
                      <w:sz w:val="21"/>
                      <w:szCs w:val="21"/>
                    </w:rPr>
                    <w:t>仓库</w:t>
                  </w:r>
                </w:p>
              </w:tc>
              <w:tc>
                <w:tcPr>
                  <w:tcW w:w="3286"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原材料库1间</w:t>
                  </w:r>
                </w:p>
              </w:tc>
              <w:tc>
                <w:tcPr>
                  <w:tcW w:w="2774"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原材料库1间</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Calibri" w:hAnsi="Calibri" w:eastAsia="宋体" w:cs="Times New Roman"/>
                      <w:kern w:val="2"/>
                      <w:sz w:val="21"/>
                      <w:szCs w:val="21"/>
                      <w:lang w:val="en-US" w:eastAsia="zh-CN" w:bidi="ar-SA"/>
                    </w:rPr>
                  </w:pPr>
                  <w:r>
                    <w:rPr>
                      <w:sz w:val="21"/>
                      <w:szCs w:val="21"/>
                    </w:rPr>
                    <w:t>成品仓库</w:t>
                  </w:r>
                </w:p>
              </w:tc>
              <w:tc>
                <w:tcPr>
                  <w:tcW w:w="3286"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冷冻库2间（</w:t>
                  </w:r>
                  <w:r>
                    <w:rPr>
                      <w:rFonts w:hint="eastAsia"/>
                      <w:sz w:val="21"/>
                      <w:szCs w:val="21"/>
                    </w:rPr>
                    <w:t>速冻库</w:t>
                  </w:r>
                  <w:r>
                    <w:rPr>
                      <w:sz w:val="21"/>
                      <w:szCs w:val="21"/>
                    </w:rPr>
                    <w:t>1间、成品冷冻库1间）（氟利昂</w:t>
                  </w:r>
                  <w:r>
                    <w:rPr>
                      <w:sz w:val="21"/>
                      <w:szCs w:val="21"/>
                      <w:shd w:val="clear" w:color="auto" w:fill="FFFFFF"/>
                      <w:lang w:bidi="ar"/>
                    </w:rPr>
                    <w:t>制冷剂R410A</w:t>
                  </w:r>
                  <w:r>
                    <w:rPr>
                      <w:sz w:val="21"/>
                      <w:szCs w:val="21"/>
                    </w:rPr>
                    <w:t>）</w:t>
                  </w:r>
                </w:p>
              </w:tc>
              <w:tc>
                <w:tcPr>
                  <w:tcW w:w="2774" w:type="dxa"/>
                  <w:noWrap w:val="0"/>
                  <w:vAlign w:val="center"/>
                </w:tcPr>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Calibri" w:hAnsi="Calibri" w:eastAsia="宋体" w:cs="Times New Roman"/>
                      <w:kern w:val="2"/>
                      <w:sz w:val="21"/>
                      <w:szCs w:val="21"/>
                      <w:lang w:val="en-US" w:eastAsia="zh-CN" w:bidi="ar-SA"/>
                    </w:rPr>
                  </w:pPr>
                  <w:r>
                    <w:rPr>
                      <w:sz w:val="21"/>
                      <w:szCs w:val="21"/>
                    </w:rPr>
                    <w:t>冷冻库2间（</w:t>
                  </w:r>
                  <w:r>
                    <w:rPr>
                      <w:rFonts w:hint="eastAsia"/>
                      <w:sz w:val="21"/>
                      <w:szCs w:val="21"/>
                    </w:rPr>
                    <w:t>速冻库</w:t>
                  </w:r>
                  <w:r>
                    <w:rPr>
                      <w:sz w:val="21"/>
                      <w:szCs w:val="21"/>
                    </w:rPr>
                    <w:t>1间、成品冷冻库1间）（氟利昂</w:t>
                  </w:r>
                  <w:r>
                    <w:rPr>
                      <w:sz w:val="21"/>
                      <w:szCs w:val="21"/>
                      <w:shd w:val="clear" w:color="auto" w:fill="FFFFFF"/>
                      <w:lang w:bidi="ar"/>
                    </w:rPr>
                    <w:t>制冷剂R410A</w:t>
                  </w:r>
                  <w:r>
                    <w:rPr>
                      <w:sz w:val="21"/>
                      <w:szCs w:val="21"/>
                    </w:rPr>
                    <w:t>）</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restart"/>
                  <w:noWrap w:val="0"/>
                  <w:vAlign w:val="center"/>
                </w:tcPr>
                <w:p>
                  <w:pPr>
                    <w:adjustRightInd/>
                    <w:jc w:val="center"/>
                    <w:rPr>
                      <w:sz w:val="21"/>
                      <w:szCs w:val="21"/>
                      <w:highlight w:val="none"/>
                    </w:rPr>
                  </w:pPr>
                  <w:r>
                    <w:rPr>
                      <w:sz w:val="21"/>
                      <w:szCs w:val="21"/>
                      <w:highlight w:val="none"/>
                    </w:rPr>
                    <w:t>公用</w:t>
                  </w:r>
                </w:p>
                <w:p>
                  <w:pPr>
                    <w:adjustRightInd/>
                    <w:jc w:val="center"/>
                    <w:rPr>
                      <w:rFonts w:hint="default" w:ascii="Calibri" w:hAnsi="Calibri" w:eastAsia="宋体" w:cs="Times New Roman"/>
                      <w:kern w:val="2"/>
                      <w:sz w:val="21"/>
                      <w:szCs w:val="21"/>
                      <w:highlight w:val="none"/>
                      <w:lang w:val="en-US" w:eastAsia="zh-CN" w:bidi="ar-SA"/>
                    </w:rPr>
                  </w:pPr>
                  <w:r>
                    <w:rPr>
                      <w:sz w:val="21"/>
                      <w:szCs w:val="21"/>
                      <w:highlight w:val="none"/>
                    </w:rPr>
                    <w:t>工程</w:t>
                  </w:r>
                </w:p>
              </w:tc>
              <w:tc>
                <w:tcPr>
                  <w:tcW w:w="662" w:type="dxa"/>
                  <w:noWrap w:val="0"/>
                  <w:vAlign w:val="center"/>
                </w:tcPr>
                <w:p>
                  <w:pPr>
                    <w:adjustRightInd/>
                    <w:jc w:val="center"/>
                    <w:rPr>
                      <w:rFonts w:hint="default" w:ascii="Calibri" w:hAnsi="Calibri" w:eastAsia="宋体" w:cs="Times New Roman"/>
                      <w:kern w:val="2"/>
                      <w:sz w:val="21"/>
                      <w:szCs w:val="21"/>
                      <w:highlight w:val="none"/>
                      <w:lang w:val="en-US" w:eastAsia="zh-CN" w:bidi="ar-SA"/>
                    </w:rPr>
                  </w:pPr>
                  <w:r>
                    <w:rPr>
                      <w:sz w:val="21"/>
                      <w:szCs w:val="21"/>
                      <w:highlight w:val="none"/>
                    </w:rPr>
                    <w:t>供水</w:t>
                  </w:r>
                </w:p>
              </w:tc>
              <w:tc>
                <w:tcPr>
                  <w:tcW w:w="3286" w:type="dxa"/>
                  <w:noWrap w:val="0"/>
                  <w:vAlign w:val="center"/>
                </w:tcPr>
                <w:p>
                  <w:pPr>
                    <w:adjustRightInd/>
                    <w:jc w:val="both"/>
                    <w:rPr>
                      <w:rFonts w:hint="default" w:ascii="Calibri" w:hAnsi="Calibri" w:eastAsia="宋体" w:cs="Times New Roman"/>
                      <w:kern w:val="2"/>
                      <w:sz w:val="21"/>
                      <w:szCs w:val="21"/>
                      <w:highlight w:val="none"/>
                      <w:lang w:val="en-US" w:eastAsia="zh-CN" w:bidi="ar-SA"/>
                    </w:rPr>
                  </w:pPr>
                  <w:r>
                    <w:rPr>
                      <w:sz w:val="21"/>
                      <w:szCs w:val="21"/>
                      <w:highlight w:val="none"/>
                    </w:rPr>
                    <w:t>供水由市政自来水供水管网供给，年用水量</w:t>
                  </w:r>
                  <w:r>
                    <w:rPr>
                      <w:rFonts w:hint="eastAsia"/>
                      <w:sz w:val="21"/>
                      <w:szCs w:val="21"/>
                      <w:highlight w:val="none"/>
                    </w:rPr>
                    <w:t>约</w:t>
                  </w:r>
                  <w:r>
                    <w:rPr>
                      <w:sz w:val="21"/>
                      <w:szCs w:val="21"/>
                      <w:highlight w:val="none"/>
                    </w:rPr>
                    <w:t>1200t/a</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eastAsia="宋体" w:cs="宋体"/>
                      <w:sz w:val="21"/>
                      <w:szCs w:val="21"/>
                      <w:highlight w:val="none"/>
                      <w:vertAlign w:val="baseline"/>
                      <w:lang w:val="en-US" w:eastAsia="zh-CN"/>
                    </w:rPr>
                  </w:pPr>
                  <w:r>
                    <w:rPr>
                      <w:sz w:val="21"/>
                      <w:szCs w:val="21"/>
                      <w:highlight w:val="none"/>
                    </w:rPr>
                    <w:t>供水由市政自来水供水管网供给，年用水量</w:t>
                  </w:r>
                  <w:r>
                    <w:rPr>
                      <w:rFonts w:hint="eastAsia"/>
                      <w:sz w:val="21"/>
                      <w:szCs w:val="21"/>
                      <w:highlight w:val="none"/>
                    </w:rPr>
                    <w:t>约</w:t>
                  </w:r>
                  <w:r>
                    <w:rPr>
                      <w:rFonts w:hint="eastAsia"/>
                      <w:sz w:val="21"/>
                      <w:szCs w:val="21"/>
                      <w:highlight w:val="none"/>
                      <w:lang w:val="en-US" w:eastAsia="zh-CN"/>
                    </w:rPr>
                    <w:t>1096t/a</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yellow"/>
                      <w:vertAlign w:val="baseline"/>
                      <w:lang w:val="en-US" w:eastAsia="zh-CN"/>
                    </w:rPr>
                  </w:pPr>
                </w:p>
              </w:tc>
              <w:tc>
                <w:tcPr>
                  <w:tcW w:w="662" w:type="dxa"/>
                  <w:noWrap w:val="0"/>
                  <w:vAlign w:val="center"/>
                </w:tcPr>
                <w:p>
                  <w:pPr>
                    <w:adjustRightInd/>
                    <w:jc w:val="center"/>
                    <w:rPr>
                      <w:rFonts w:hint="default" w:ascii="Calibri" w:hAnsi="Calibri" w:eastAsia="宋体" w:cs="Times New Roman"/>
                      <w:kern w:val="2"/>
                      <w:sz w:val="21"/>
                      <w:szCs w:val="21"/>
                      <w:highlight w:val="none"/>
                      <w:lang w:val="en-US" w:eastAsia="zh-CN" w:bidi="ar-SA"/>
                    </w:rPr>
                  </w:pPr>
                  <w:r>
                    <w:rPr>
                      <w:sz w:val="21"/>
                      <w:szCs w:val="21"/>
                      <w:highlight w:val="none"/>
                    </w:rPr>
                    <w:t>供电</w:t>
                  </w:r>
                </w:p>
              </w:tc>
              <w:tc>
                <w:tcPr>
                  <w:tcW w:w="3286" w:type="dxa"/>
                  <w:noWrap w:val="0"/>
                  <w:vAlign w:val="center"/>
                </w:tcPr>
                <w:p>
                  <w:pPr>
                    <w:adjustRightInd/>
                    <w:jc w:val="both"/>
                    <w:rPr>
                      <w:rFonts w:hint="default" w:ascii="Calibri" w:hAnsi="Calibri" w:eastAsia="宋体" w:cs="Times New Roman"/>
                      <w:kern w:val="2"/>
                      <w:sz w:val="21"/>
                      <w:szCs w:val="21"/>
                      <w:highlight w:val="none"/>
                      <w:lang w:val="en-US" w:eastAsia="zh-CN" w:bidi="ar-SA"/>
                    </w:rPr>
                  </w:pPr>
                  <w:r>
                    <w:rPr>
                      <w:sz w:val="21"/>
                      <w:szCs w:val="21"/>
                      <w:highlight w:val="none"/>
                    </w:rPr>
                    <w:t>厂区用电来自市政电网，年用电量约为2.2万度</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sz w:val="21"/>
                      <w:szCs w:val="21"/>
                      <w:highlight w:val="none"/>
                    </w:rPr>
                    <w:t>厂区用电来自市政电网，年用</w:t>
                  </w:r>
                  <w:r>
                    <w:rPr>
                      <w:rFonts w:hint="default" w:ascii="Times New Roman" w:hAnsi="Times New Roman" w:cs="Times New Roman"/>
                      <w:sz w:val="21"/>
                      <w:szCs w:val="21"/>
                      <w:highlight w:val="none"/>
                    </w:rPr>
                    <w:t>电量</w:t>
                  </w:r>
                  <w:r>
                    <w:rPr>
                      <w:rFonts w:hint="default" w:ascii="Times New Roman" w:hAnsi="Times New Roman" w:cs="Times New Roman"/>
                      <w:sz w:val="21"/>
                      <w:szCs w:val="21"/>
                      <w:highlight w:val="none"/>
                      <w:vertAlign w:val="baseline"/>
                      <w:lang w:val="en-US" w:eastAsia="zh-CN"/>
                    </w:rPr>
                    <w:t>1.9万度</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adjustRightInd/>
                    <w:jc w:val="center"/>
                    <w:rPr>
                      <w:rFonts w:hint="default" w:ascii="Calibri" w:hAnsi="Calibri" w:eastAsia="宋体" w:cs="Times New Roman"/>
                      <w:kern w:val="2"/>
                      <w:sz w:val="21"/>
                      <w:szCs w:val="21"/>
                      <w:lang w:val="en-US" w:eastAsia="zh-CN" w:bidi="ar-SA"/>
                    </w:rPr>
                  </w:pPr>
                  <w:r>
                    <w:rPr>
                      <w:rFonts w:hint="eastAsia"/>
                      <w:sz w:val="21"/>
                      <w:szCs w:val="21"/>
                    </w:rPr>
                    <w:t>排水</w:t>
                  </w:r>
                </w:p>
              </w:tc>
              <w:tc>
                <w:tcPr>
                  <w:tcW w:w="3286" w:type="dxa"/>
                  <w:noWrap w:val="0"/>
                  <w:vAlign w:val="center"/>
                </w:tcPr>
                <w:p>
                  <w:pPr>
                    <w:adjustRightInd/>
                    <w:jc w:val="both"/>
                    <w:rPr>
                      <w:rFonts w:hint="default" w:ascii="Calibri" w:hAnsi="Calibri" w:eastAsia="宋体" w:cs="Times New Roman"/>
                      <w:kern w:val="2"/>
                      <w:sz w:val="21"/>
                      <w:szCs w:val="21"/>
                      <w:lang w:val="en-US" w:eastAsia="zh-CN" w:bidi="ar-SA"/>
                    </w:rPr>
                  </w:pPr>
                  <w:r>
                    <w:rPr>
                      <w:sz w:val="21"/>
                      <w:szCs w:val="21"/>
                    </w:rPr>
                    <w:t>厂区排水实行雨污分流；雨水收集后排入雨水管网；污水收集后排入污水管网</w:t>
                  </w:r>
                  <w:r>
                    <w:rPr>
                      <w:rFonts w:hint="eastAsia"/>
                      <w:sz w:val="21"/>
                      <w:szCs w:val="21"/>
                    </w:rPr>
                    <w:t>，</w:t>
                  </w:r>
                  <w:r>
                    <w:rPr>
                      <w:rFonts w:hint="eastAsia"/>
                      <w:color w:val="000000"/>
                      <w:sz w:val="21"/>
                      <w:szCs w:val="21"/>
                      <w:lang w:eastAsia="zh-CN"/>
                    </w:rPr>
                    <w:t>其中：</w:t>
                  </w:r>
                  <w:r>
                    <w:rPr>
                      <w:rFonts w:hint="eastAsia"/>
                      <w:color w:val="000000"/>
                      <w:sz w:val="21"/>
                      <w:szCs w:val="21"/>
                    </w:rPr>
                    <w:t>设备清洗用水及车间保洁用水经隔油沉淀池预处理后</w:t>
                  </w:r>
                  <w:r>
                    <w:rPr>
                      <w:rFonts w:hint="eastAsia"/>
                      <w:color w:val="000000"/>
                      <w:sz w:val="21"/>
                      <w:szCs w:val="21"/>
                      <w:lang w:eastAsia="zh-CN"/>
                    </w:rPr>
                    <w:t>和</w:t>
                  </w:r>
                  <w:r>
                    <w:rPr>
                      <w:rFonts w:hint="eastAsia"/>
                      <w:color w:val="000000"/>
                      <w:sz w:val="21"/>
                      <w:szCs w:val="21"/>
                    </w:rPr>
                    <w:t>生活污水</w:t>
                  </w:r>
                  <w:r>
                    <w:rPr>
                      <w:rFonts w:hint="eastAsia"/>
                      <w:color w:val="000000"/>
                      <w:sz w:val="21"/>
                      <w:szCs w:val="21"/>
                      <w:lang w:eastAsia="zh-CN"/>
                    </w:rPr>
                    <w:t>经</w:t>
                  </w:r>
                  <w:r>
                    <w:rPr>
                      <w:rFonts w:hint="eastAsia"/>
                      <w:color w:val="000000"/>
                      <w:sz w:val="21"/>
                      <w:szCs w:val="21"/>
                    </w:rPr>
                    <w:t>化粪池处理后</w:t>
                  </w:r>
                  <w:r>
                    <w:rPr>
                      <w:rFonts w:hint="eastAsia"/>
                      <w:sz w:val="21"/>
                      <w:szCs w:val="21"/>
                    </w:rPr>
                    <w:t>统一汇入厂区污水总排口</w:t>
                  </w:r>
                  <w:r>
                    <w:rPr>
                      <w:rFonts w:hint="eastAsia"/>
                      <w:sz w:val="21"/>
                      <w:szCs w:val="21"/>
                      <w:lang w:eastAsia="zh-CN"/>
                    </w:rPr>
                    <w:t>，</w:t>
                  </w:r>
                  <w:r>
                    <w:rPr>
                      <w:rFonts w:hint="eastAsia"/>
                      <w:sz w:val="21"/>
                      <w:szCs w:val="21"/>
                    </w:rPr>
                    <w:t>接入市政污水管网排入巢湖市岗岭污水处理厂</w:t>
                  </w:r>
                  <w:r>
                    <w:rPr>
                      <w:rFonts w:hint="eastAsia"/>
                      <w:sz w:val="21"/>
                      <w:szCs w:val="21"/>
                      <w:lang w:eastAsia="zh-CN"/>
                    </w:rPr>
                    <w:t>处理</w:t>
                  </w:r>
                  <w:r>
                    <w:rPr>
                      <w:rFonts w:hint="eastAsia"/>
                      <w:sz w:val="21"/>
                      <w:szCs w:val="21"/>
                    </w:rPr>
                    <w:t>，处理达标后排放到裕溪河。</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厂区已实行雨污分流；雨水收集后排入雨水管网；污水收集后排入污水管网，其中：设备清洗用水及车间保洁用水经隔油沉淀池预处理后和生活污水经化粪池处理后统一汇入厂区污水总排口，接入市政污水管网排入巢湖市岗岭污水处理厂处理，处理达标后排放到裕溪河</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restart"/>
                  <w:noWrap w:val="0"/>
                  <w:vAlign w:val="center"/>
                </w:tcPr>
                <w:p>
                  <w:pPr>
                    <w:adjustRightInd/>
                    <w:jc w:val="both"/>
                    <w:rPr>
                      <w:sz w:val="21"/>
                      <w:szCs w:val="21"/>
                    </w:rPr>
                  </w:pPr>
                  <w:r>
                    <w:rPr>
                      <w:sz w:val="21"/>
                      <w:szCs w:val="21"/>
                    </w:rPr>
                    <w:t>环保</w:t>
                  </w:r>
                </w:p>
                <w:p>
                  <w:pPr>
                    <w:adjustRightInd/>
                    <w:jc w:val="both"/>
                    <w:rPr>
                      <w:rFonts w:hint="default" w:ascii="Calibri" w:hAnsi="Calibri" w:eastAsia="宋体" w:cs="Times New Roman"/>
                      <w:kern w:val="2"/>
                      <w:sz w:val="21"/>
                      <w:szCs w:val="21"/>
                      <w:lang w:val="en-US" w:eastAsia="zh-CN" w:bidi="ar-SA"/>
                    </w:rPr>
                  </w:pPr>
                  <w:r>
                    <w:rPr>
                      <w:sz w:val="21"/>
                      <w:szCs w:val="21"/>
                    </w:rPr>
                    <w:t>工程</w:t>
                  </w:r>
                </w:p>
              </w:tc>
              <w:tc>
                <w:tcPr>
                  <w:tcW w:w="662" w:type="dxa"/>
                  <w:vMerge w:val="restart"/>
                  <w:noWrap w:val="0"/>
                  <w:vAlign w:val="center"/>
                </w:tcPr>
                <w:p>
                  <w:pPr>
                    <w:adjustRightInd/>
                    <w:jc w:val="both"/>
                    <w:rPr>
                      <w:rFonts w:hint="default" w:ascii="Calibri" w:hAnsi="Calibri" w:eastAsia="宋体" w:cs="Times New Roman"/>
                      <w:kern w:val="2"/>
                      <w:sz w:val="21"/>
                      <w:szCs w:val="21"/>
                      <w:lang w:val="en-US" w:eastAsia="zh-CN" w:bidi="ar-SA"/>
                    </w:rPr>
                  </w:pPr>
                  <w:r>
                    <w:rPr>
                      <w:sz w:val="21"/>
                      <w:szCs w:val="21"/>
                    </w:rPr>
                    <w:t>废水</w:t>
                  </w:r>
                  <w:r>
                    <w:rPr>
                      <w:rFonts w:hint="eastAsia"/>
                      <w:sz w:val="21"/>
                      <w:szCs w:val="21"/>
                    </w:rPr>
                    <w:t>处理设施</w:t>
                  </w:r>
                </w:p>
              </w:tc>
              <w:tc>
                <w:tcPr>
                  <w:tcW w:w="3286"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sz w:val="21"/>
                      <w:szCs w:val="21"/>
                    </w:rPr>
                    <w:t>生活污水处理设施</w:t>
                  </w:r>
                </w:p>
              </w:tc>
              <w:tc>
                <w:tcPr>
                  <w:tcW w:w="2774"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sz w:val="21"/>
                      <w:szCs w:val="21"/>
                    </w:rPr>
                    <w:t>化粪池1座（依托</w:t>
                  </w:r>
                  <w:r>
                    <w:rPr>
                      <w:rFonts w:hint="eastAsia"/>
                      <w:sz w:val="21"/>
                      <w:szCs w:val="21"/>
                      <w:lang w:eastAsia="zh-CN"/>
                    </w:rPr>
                    <w:t>租赁园区</w:t>
                  </w:r>
                  <w:r>
                    <w:rPr>
                      <w:rFonts w:hint="eastAsia"/>
                      <w:sz w:val="21"/>
                      <w:szCs w:val="21"/>
                    </w:rPr>
                    <w:t>现有）</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3286"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sz w:val="21"/>
                      <w:szCs w:val="21"/>
                    </w:rPr>
                    <w:t>生产废水处理设施</w:t>
                  </w:r>
                </w:p>
              </w:tc>
              <w:tc>
                <w:tcPr>
                  <w:tcW w:w="2774"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sz w:val="21"/>
                      <w:szCs w:val="21"/>
                    </w:rPr>
                    <w:t>隔油沉淀池</w:t>
                  </w:r>
                  <w:r>
                    <w:rPr>
                      <w:rFonts w:hint="eastAsia"/>
                      <w:sz w:val="21"/>
                      <w:szCs w:val="21"/>
                      <w:lang w:val="en-US" w:eastAsia="zh-CN"/>
                    </w:rPr>
                    <w:t>1座</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adjustRightInd/>
                    <w:jc w:val="both"/>
                    <w:rPr>
                      <w:rFonts w:hint="default" w:ascii="Calibri" w:hAnsi="Calibri" w:eastAsia="宋体" w:cs="Times New Roman"/>
                      <w:kern w:val="2"/>
                      <w:sz w:val="21"/>
                      <w:szCs w:val="21"/>
                      <w:lang w:val="en-US" w:eastAsia="zh-CN" w:bidi="ar-SA"/>
                    </w:rPr>
                  </w:pPr>
                  <w:r>
                    <w:rPr>
                      <w:sz w:val="21"/>
                      <w:szCs w:val="21"/>
                    </w:rPr>
                    <w:t>废气</w:t>
                  </w:r>
                  <w:r>
                    <w:rPr>
                      <w:rFonts w:hint="eastAsia"/>
                      <w:sz w:val="21"/>
                      <w:szCs w:val="21"/>
                    </w:rPr>
                    <w:t>处理设施</w:t>
                  </w:r>
                </w:p>
              </w:tc>
              <w:tc>
                <w:tcPr>
                  <w:tcW w:w="3286"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sz w:val="21"/>
                      <w:szCs w:val="21"/>
                    </w:rPr>
                    <w:t>配料、</w:t>
                  </w:r>
                  <w:r>
                    <w:rPr>
                      <w:sz w:val="21"/>
                      <w:szCs w:val="21"/>
                    </w:rPr>
                    <w:t>和面过程中产生的</w:t>
                  </w:r>
                  <w:r>
                    <w:rPr>
                      <w:rFonts w:hint="eastAsia"/>
                      <w:sz w:val="21"/>
                      <w:szCs w:val="21"/>
                    </w:rPr>
                    <w:t>粉尘</w:t>
                  </w:r>
                </w:p>
              </w:tc>
              <w:tc>
                <w:tcPr>
                  <w:tcW w:w="2774" w:type="dxa"/>
                  <w:noWrap w:val="0"/>
                  <w:vAlign w:val="center"/>
                </w:tcPr>
                <w:p>
                  <w:pPr>
                    <w:adjustRightInd/>
                    <w:jc w:val="both"/>
                    <w:rPr>
                      <w:rFonts w:hint="default" w:ascii="Calibri" w:hAnsi="Calibri" w:eastAsia="宋体" w:cs="Times New Roman"/>
                      <w:kern w:val="2"/>
                      <w:sz w:val="21"/>
                      <w:szCs w:val="21"/>
                      <w:lang w:val="en-US" w:eastAsia="zh-CN" w:bidi="ar-SA"/>
                    </w:rPr>
                  </w:pPr>
                  <w:r>
                    <w:rPr>
                      <w:rFonts w:hint="eastAsia" w:ascii="宋体" w:hAnsi="宋体" w:cs="宋体"/>
                      <w:sz w:val="21"/>
                      <w:szCs w:val="21"/>
                      <w:lang w:eastAsia="zh-CN"/>
                    </w:rPr>
                    <w:t>投料时</w:t>
                  </w:r>
                  <w:r>
                    <w:rPr>
                      <w:rFonts w:hint="eastAsia" w:ascii="宋体" w:hAnsi="宋体" w:cs="宋体"/>
                      <w:sz w:val="21"/>
                      <w:szCs w:val="21"/>
                    </w:rPr>
                    <w:t>轻拿轻投、减少无组织粉尘</w:t>
                  </w:r>
                  <w:r>
                    <w:rPr>
                      <w:rFonts w:hint="eastAsia" w:ascii="宋体" w:hAnsi="宋体" w:cs="宋体"/>
                      <w:sz w:val="21"/>
                      <w:szCs w:val="21"/>
                      <w:lang w:eastAsia="zh-CN"/>
                    </w:rPr>
                    <w:t>产生</w:t>
                  </w:r>
                  <w:r>
                    <w:rPr>
                      <w:rFonts w:hint="eastAsia" w:ascii="宋体" w:hAnsi="宋体" w:cs="宋体"/>
                      <w:sz w:val="21"/>
                      <w:szCs w:val="21"/>
                    </w:rPr>
                    <w:t>，通过1台工业吸尘器对无组织粉尘进行收集，并加强车间保洁</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adjustRightInd/>
                    <w:jc w:val="both"/>
                    <w:rPr>
                      <w:rFonts w:hint="default" w:ascii="Calibri" w:hAnsi="Calibri" w:eastAsia="宋体" w:cs="Times New Roman"/>
                      <w:kern w:val="2"/>
                      <w:sz w:val="21"/>
                      <w:szCs w:val="21"/>
                      <w:lang w:val="en-US" w:eastAsia="zh-CN" w:bidi="ar-SA"/>
                    </w:rPr>
                  </w:pPr>
                  <w:r>
                    <w:rPr>
                      <w:sz w:val="21"/>
                      <w:szCs w:val="21"/>
                    </w:rPr>
                    <w:t>噪声治理</w:t>
                  </w:r>
                </w:p>
              </w:tc>
              <w:tc>
                <w:tcPr>
                  <w:tcW w:w="3286" w:type="dxa"/>
                  <w:noWrap w:val="0"/>
                  <w:vAlign w:val="center"/>
                </w:tcPr>
                <w:p>
                  <w:pPr>
                    <w:adjustRightInd/>
                    <w:jc w:val="both"/>
                    <w:rPr>
                      <w:rFonts w:hint="default" w:ascii="Calibri" w:hAnsi="Calibri" w:eastAsia="宋体" w:cs="Times New Roman"/>
                      <w:kern w:val="2"/>
                      <w:sz w:val="21"/>
                      <w:szCs w:val="21"/>
                      <w:lang w:val="en-US" w:eastAsia="zh-CN" w:bidi="ar-SA"/>
                    </w:rPr>
                  </w:pPr>
                  <w:r>
                    <w:rPr>
                      <w:sz w:val="21"/>
                      <w:szCs w:val="21"/>
                    </w:rPr>
                    <w:t>采取厂房隔声、设备减振等降噪措施</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default" w:hAnsi="宋体" w:cs="宋体"/>
                      <w:sz w:val="21"/>
                      <w:szCs w:val="21"/>
                      <w:highlight w:val="none"/>
                      <w:vertAlign w:val="baseline"/>
                      <w:lang w:val="en-US" w:eastAsia="zh-CN"/>
                    </w:rPr>
                    <w:t>采取厂房隔声、设备减振等降噪措施</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p>
              </w:tc>
              <w:tc>
                <w:tcPr>
                  <w:tcW w:w="662" w:type="dxa"/>
                  <w:noWrap w:val="0"/>
                  <w:vAlign w:val="center"/>
                </w:tcPr>
                <w:p>
                  <w:pPr>
                    <w:adjustRightInd/>
                    <w:jc w:val="both"/>
                    <w:rPr>
                      <w:rFonts w:hint="default" w:ascii="Calibri" w:hAnsi="Calibri" w:eastAsia="宋体" w:cs="Times New Roman"/>
                      <w:color w:val="000000"/>
                      <w:kern w:val="2"/>
                      <w:sz w:val="21"/>
                      <w:szCs w:val="21"/>
                      <w:lang w:val="en-US" w:eastAsia="zh-CN" w:bidi="ar-SA"/>
                    </w:rPr>
                  </w:pPr>
                  <w:r>
                    <w:rPr>
                      <w:color w:val="000000"/>
                      <w:sz w:val="21"/>
                      <w:szCs w:val="21"/>
                    </w:rPr>
                    <w:t>固废治理</w:t>
                  </w:r>
                </w:p>
              </w:tc>
              <w:tc>
                <w:tcPr>
                  <w:tcW w:w="3286" w:type="dxa"/>
                  <w:noWrap w:val="0"/>
                  <w:vAlign w:val="center"/>
                </w:tcPr>
                <w:p>
                  <w:pPr>
                    <w:adjustRightInd/>
                    <w:jc w:val="both"/>
                    <w:rPr>
                      <w:rFonts w:hint="default" w:ascii="Calibri" w:hAnsi="Calibri" w:eastAsia="宋体" w:cs="Times New Roman"/>
                      <w:color w:val="000000"/>
                      <w:kern w:val="2"/>
                      <w:sz w:val="21"/>
                      <w:szCs w:val="21"/>
                      <w:lang w:val="en-US" w:eastAsia="zh-CN" w:bidi="ar-SA"/>
                    </w:rPr>
                  </w:pPr>
                  <w:r>
                    <w:rPr>
                      <w:rFonts w:hint="eastAsia"/>
                      <w:color w:val="000000"/>
                      <w:sz w:val="21"/>
                      <w:szCs w:val="21"/>
                    </w:rPr>
                    <w:t>一般固体废物</w:t>
                  </w:r>
                  <w:r>
                    <w:rPr>
                      <w:rFonts w:hint="eastAsia"/>
                      <w:color w:val="000000"/>
                      <w:sz w:val="21"/>
                      <w:szCs w:val="21"/>
                      <w:lang w:eastAsia="zh-CN"/>
                    </w:rPr>
                    <w:t>和生活垃圾实行分类收集、分类储存、分类处置。一般固体废物</w:t>
                  </w:r>
                  <w:r>
                    <w:rPr>
                      <w:rFonts w:hint="eastAsia"/>
                      <w:color w:val="000000"/>
                      <w:sz w:val="21"/>
                      <w:szCs w:val="21"/>
                    </w:rPr>
                    <w:t>暂存于</w:t>
                  </w:r>
                  <w:r>
                    <w:rPr>
                      <w:rFonts w:hint="eastAsia"/>
                      <w:color w:val="000000"/>
                      <w:sz w:val="21"/>
                      <w:szCs w:val="21"/>
                      <w:lang w:eastAsia="zh-CN"/>
                    </w:rPr>
                    <w:t>暂存所（位于</w:t>
                  </w:r>
                  <w:r>
                    <w:rPr>
                      <w:rFonts w:hint="eastAsia"/>
                      <w:color w:val="000000"/>
                      <w:sz w:val="21"/>
                      <w:szCs w:val="21"/>
                    </w:rPr>
                    <w:t>厂区原材料仓库</w:t>
                  </w:r>
                  <w:r>
                    <w:rPr>
                      <w:rFonts w:hint="eastAsia"/>
                      <w:color w:val="000000"/>
                      <w:sz w:val="21"/>
                      <w:szCs w:val="21"/>
                      <w:lang w:eastAsia="zh-CN"/>
                    </w:rPr>
                    <w:t>、</w:t>
                  </w:r>
                  <w:r>
                    <w:rPr>
                      <w:rFonts w:hint="eastAsia"/>
                      <w:color w:val="000000"/>
                      <w:sz w:val="21"/>
                      <w:szCs w:val="21"/>
                    </w:rPr>
                    <w:t>建筑面积约</w:t>
                  </w:r>
                  <w:r>
                    <w:rPr>
                      <w:rFonts w:hint="eastAsia"/>
                      <w:color w:val="000000"/>
                      <w:sz w:val="21"/>
                      <w:szCs w:val="21"/>
                      <w:lang w:val="en-US" w:eastAsia="zh-CN"/>
                    </w:rPr>
                    <w:t>20</w:t>
                  </w:r>
                  <w:r>
                    <w:rPr>
                      <w:rFonts w:hint="eastAsia"/>
                      <w:color w:val="000000"/>
                      <w:sz w:val="21"/>
                      <w:szCs w:val="21"/>
                    </w:rPr>
                    <w:t>m</w:t>
                  </w:r>
                  <w:r>
                    <w:rPr>
                      <w:rFonts w:hint="eastAsia"/>
                      <w:color w:val="000000"/>
                      <w:sz w:val="21"/>
                      <w:szCs w:val="21"/>
                      <w:vertAlign w:val="superscript"/>
                    </w:rPr>
                    <w:t>2</w:t>
                  </w:r>
                  <w:r>
                    <w:rPr>
                      <w:rFonts w:hint="eastAsia"/>
                      <w:color w:val="000000"/>
                      <w:sz w:val="21"/>
                      <w:szCs w:val="21"/>
                      <w:lang w:eastAsia="zh-CN"/>
                    </w:rPr>
                    <w:t>）</w:t>
                  </w:r>
                  <w:r>
                    <w:rPr>
                      <w:rFonts w:hint="eastAsia"/>
                      <w:color w:val="000000"/>
                      <w:sz w:val="21"/>
                      <w:szCs w:val="21"/>
                    </w:rPr>
                    <w:t>。</w:t>
                  </w:r>
                  <w:r>
                    <w:rPr>
                      <w:rFonts w:hint="eastAsia"/>
                      <w:color w:val="000000"/>
                      <w:sz w:val="21"/>
                      <w:szCs w:val="21"/>
                      <w:lang w:eastAsia="zh-CN"/>
                    </w:rPr>
                    <w:t>生活垃圾垃圾桶收集后委托环卫部门规范处置</w:t>
                  </w:r>
                </w:p>
              </w:tc>
              <w:tc>
                <w:tcPr>
                  <w:tcW w:w="277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default" w:hAnsi="宋体" w:cs="宋体"/>
                      <w:sz w:val="21"/>
                      <w:szCs w:val="21"/>
                      <w:highlight w:val="none"/>
                      <w:vertAlign w:val="baseline"/>
                      <w:lang w:val="en-US" w:eastAsia="zh-CN"/>
                    </w:rPr>
                    <w:t>一般固体废物和生活垃圾实行分类收集、分类储存、分类处置。一般固体废物暂存于暂存所（位于厂区原材料仓库、 建筑面积约20m</w:t>
                  </w:r>
                  <w:r>
                    <w:rPr>
                      <w:rFonts w:hint="default" w:hAnsi="宋体" w:cs="宋体"/>
                      <w:sz w:val="21"/>
                      <w:szCs w:val="21"/>
                      <w:highlight w:val="none"/>
                      <w:vertAlign w:val="superscript"/>
                      <w:lang w:val="en-US" w:eastAsia="zh-CN"/>
                    </w:rPr>
                    <w:t>2</w:t>
                  </w:r>
                  <w:r>
                    <w:rPr>
                      <w:rFonts w:hint="default" w:hAnsi="宋体" w:cs="宋体"/>
                      <w:sz w:val="21"/>
                      <w:szCs w:val="21"/>
                      <w:highlight w:val="none"/>
                      <w:vertAlign w:val="baseline"/>
                      <w:lang w:val="en-US" w:eastAsia="zh-CN"/>
                    </w:rPr>
                    <w:t>）。生活垃圾垃圾桶收集后委托环卫部门规范处置</w:t>
                  </w:r>
                </w:p>
              </w:tc>
              <w:tc>
                <w:tcPr>
                  <w:tcW w:w="97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cs="宋体"/>
                <w:b/>
                <w:bCs/>
                <w:highlight w:val="none"/>
                <w:lang w:val="en-US" w:eastAsia="zh-CN"/>
              </w:rPr>
            </w:pP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cs="宋体"/>
                <w:b/>
                <w:bCs/>
                <w:highlight w:val="none"/>
                <w:lang w:val="en-US" w:eastAsia="zh-CN"/>
              </w:rPr>
            </w:pPr>
            <w:r>
              <w:rPr>
                <w:rFonts w:hint="eastAsia" w:hAnsi="宋体" w:cs="宋体"/>
                <w:b/>
                <w:bCs/>
                <w:highlight w:val="none"/>
                <w:lang w:val="en-US" w:eastAsia="zh-CN"/>
              </w:rPr>
              <w:t>表2-2 项目生产设备一览表</w:t>
            </w:r>
          </w:p>
          <w:tbl>
            <w:tblPr>
              <w:tblStyle w:val="18"/>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0"/>
              <w:gridCol w:w="1189"/>
              <w:gridCol w:w="696"/>
              <w:gridCol w:w="1486"/>
              <w:gridCol w:w="1256"/>
              <w:gridCol w:w="669"/>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环评设备名称</w:t>
                  </w:r>
                </w:p>
              </w:tc>
              <w:tc>
                <w:tcPr>
                  <w:tcW w:w="118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型号</w:t>
                  </w:r>
                </w:p>
              </w:tc>
              <w:tc>
                <w:tcPr>
                  <w:tcW w:w="69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w:t>
                  </w:r>
                </w:p>
              </w:tc>
              <w:tc>
                <w:tcPr>
                  <w:tcW w:w="148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实际设备名称</w:t>
                  </w:r>
                </w:p>
              </w:tc>
              <w:tc>
                <w:tcPr>
                  <w:tcW w:w="125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型号</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搅拌机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LC-B20B</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lang w:val="en-US" w:eastAsia="zh-CN"/>
                    </w:rPr>
                    <w:t>3</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搅拌机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LC-B20B</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2</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起酥机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LC-520E</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4</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起酥机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LC-520E</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2</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成型机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09-W680</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lang w:val="en-US" w:eastAsia="zh-CN"/>
                    </w:rPr>
                    <w:t>14</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成型机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09-W680</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4</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封口机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FR-900H</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1</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封口机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FR-900H</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1</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灌装机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GIWDE-100</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1</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灌装机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color w:val="000000"/>
                      <w:szCs w:val="24"/>
                    </w:rPr>
                    <w:t>GIWDE-100</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1</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szCs w:val="24"/>
                    </w:rPr>
                    <w:t>切面机</w:t>
                  </w:r>
                </w:p>
              </w:tc>
              <w:tc>
                <w:tcPr>
                  <w:tcW w:w="1189"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szCs w:val="24"/>
                    </w:rPr>
                    <w:t>/</w:t>
                  </w:r>
                </w:p>
              </w:tc>
              <w:tc>
                <w:tcPr>
                  <w:tcW w:w="69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eastAsia" w:ascii="Times New Roman" w:hAnsi="Times New Roman" w:cs="Times New Roman"/>
                      <w:color w:val="000000"/>
                      <w:kern w:val="2"/>
                      <w:sz w:val="21"/>
                      <w:szCs w:val="24"/>
                      <w:lang w:val="en-US" w:eastAsia="zh-CN" w:bidi="ar-SA"/>
                    </w:rPr>
                    <w:t>4</w:t>
                  </w:r>
                </w:p>
              </w:tc>
              <w:tc>
                <w:tcPr>
                  <w:tcW w:w="148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szCs w:val="24"/>
                    </w:rPr>
                    <w:t>切面机</w:t>
                  </w:r>
                </w:p>
              </w:tc>
              <w:tc>
                <w:tcPr>
                  <w:tcW w:w="1256" w:type="dxa"/>
                  <w:noWrap w:val="0"/>
                  <w:vAlign w:val="center"/>
                </w:tcPr>
                <w:p>
                  <w:pPr>
                    <w:adjustRightInd/>
                    <w:spacing w:line="360" w:lineRule="auto"/>
                    <w:jc w:val="both"/>
                    <w:rPr>
                      <w:rFonts w:hint="default" w:ascii="Times New Roman" w:hAnsi="Times New Roman" w:eastAsia="宋体" w:cs="Times New Roman"/>
                      <w:color w:val="000000"/>
                      <w:kern w:val="2"/>
                      <w:sz w:val="21"/>
                      <w:szCs w:val="24"/>
                      <w:lang w:val="en-US" w:eastAsia="zh-CN" w:bidi="ar-SA"/>
                    </w:rPr>
                  </w:pPr>
                  <w:r>
                    <w:rPr>
                      <w:rFonts w:hint="default" w:ascii="Times New Roman" w:hAnsi="Times New Roman" w:cs="Times New Roman"/>
                      <w:szCs w:val="24"/>
                    </w:rPr>
                    <w:t>/</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1</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数量减少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eastAsia" w:ascii="Times New Roman" w:hAnsi="Times New Roman" w:eastAsia="宋体" w:cs="Times New Roman"/>
                      <w:szCs w:val="24"/>
                      <w:lang w:eastAsia="zh-CN"/>
                    </w:rPr>
                  </w:pPr>
                  <w:r>
                    <w:rPr>
                      <w:rFonts w:hint="eastAsia" w:ascii="Times New Roman" w:hAnsi="Times New Roman" w:cs="Times New Roman"/>
                      <w:szCs w:val="24"/>
                      <w:lang w:eastAsia="zh-CN"/>
                    </w:rPr>
                    <w:t>和面机</w:t>
                  </w:r>
                </w:p>
              </w:tc>
              <w:tc>
                <w:tcPr>
                  <w:tcW w:w="1189" w:type="dxa"/>
                  <w:noWrap w:val="0"/>
                  <w:vAlign w:val="center"/>
                </w:tcPr>
                <w:p>
                  <w:pPr>
                    <w:adjustRightInd/>
                    <w:spacing w:line="360" w:lineRule="auto"/>
                    <w:jc w:val="both"/>
                    <w:rPr>
                      <w:rFonts w:hint="default" w:ascii="Times New Roman" w:hAnsi="Times New Roman" w:cs="Times New Roman"/>
                      <w:szCs w:val="24"/>
                    </w:rPr>
                  </w:pPr>
                  <w:r>
                    <w:rPr>
                      <w:rFonts w:hint="default" w:ascii="Times New Roman" w:hAnsi="Times New Roman" w:cs="Times New Roman"/>
                      <w:color w:val="000000"/>
                      <w:szCs w:val="24"/>
                    </w:rPr>
                    <w:t>LC-SSD80</w:t>
                  </w:r>
                </w:p>
              </w:tc>
              <w:tc>
                <w:tcPr>
                  <w:tcW w:w="696" w:type="dxa"/>
                  <w:noWrap w:val="0"/>
                  <w:vAlign w:val="center"/>
                </w:tcPr>
                <w:p>
                  <w:pPr>
                    <w:adjustRightInd/>
                    <w:spacing w:line="360" w:lineRule="auto"/>
                    <w:jc w:val="both"/>
                    <w:rPr>
                      <w:rFonts w:hint="default" w:ascii="Times New Roman" w:hAnsi="Times New Roman" w:cs="Times New Roman"/>
                      <w:color w:val="000000"/>
                      <w:kern w:val="2"/>
                      <w:sz w:val="21"/>
                      <w:szCs w:val="24"/>
                      <w:lang w:val="en-US" w:eastAsia="zh-CN" w:bidi="ar-SA"/>
                    </w:rPr>
                  </w:pPr>
                  <w:r>
                    <w:rPr>
                      <w:rFonts w:hint="eastAsia" w:ascii="Times New Roman" w:hAnsi="Times New Roman" w:cs="Times New Roman"/>
                      <w:color w:val="000000"/>
                      <w:kern w:val="2"/>
                      <w:sz w:val="21"/>
                      <w:szCs w:val="24"/>
                      <w:lang w:val="en-US" w:eastAsia="zh-CN" w:bidi="ar-SA"/>
                    </w:rPr>
                    <w:t>3</w:t>
                  </w:r>
                </w:p>
              </w:tc>
              <w:tc>
                <w:tcPr>
                  <w:tcW w:w="1486" w:type="dxa"/>
                  <w:noWrap w:val="0"/>
                  <w:vAlign w:val="center"/>
                </w:tcPr>
                <w:p>
                  <w:pPr>
                    <w:adjustRightInd/>
                    <w:spacing w:line="360" w:lineRule="auto"/>
                    <w:jc w:val="both"/>
                    <w:rPr>
                      <w:rFonts w:hint="eastAsia" w:ascii="Times New Roman" w:hAnsi="Times New Roman" w:eastAsia="宋体" w:cs="Times New Roman"/>
                      <w:szCs w:val="24"/>
                      <w:lang w:val="en-US" w:eastAsia="zh-CN"/>
                    </w:rPr>
                  </w:pPr>
                  <w:r>
                    <w:rPr>
                      <w:rFonts w:hint="eastAsia" w:ascii="Times New Roman" w:hAnsi="Times New Roman" w:cs="Times New Roman"/>
                      <w:szCs w:val="24"/>
                      <w:lang w:val="en-US" w:eastAsia="zh-CN"/>
                    </w:rPr>
                    <w:t>/</w:t>
                  </w:r>
                </w:p>
              </w:tc>
              <w:tc>
                <w:tcPr>
                  <w:tcW w:w="1256" w:type="dxa"/>
                  <w:noWrap w:val="0"/>
                  <w:vAlign w:val="center"/>
                </w:tcPr>
                <w:p>
                  <w:pPr>
                    <w:adjustRightInd/>
                    <w:spacing w:line="360" w:lineRule="auto"/>
                    <w:jc w:val="both"/>
                    <w:rPr>
                      <w:rFonts w:hint="eastAsia" w:ascii="Times New Roman" w:hAnsi="Times New Roman" w:eastAsia="宋体" w:cs="Times New Roman"/>
                      <w:szCs w:val="24"/>
                      <w:lang w:val="en-US" w:eastAsia="zh-CN"/>
                    </w:rPr>
                  </w:pPr>
                  <w:r>
                    <w:rPr>
                      <w:rFonts w:hint="eastAsia" w:ascii="Times New Roman" w:hAnsi="Times New Roman" w:cs="Times New Roman"/>
                      <w:szCs w:val="24"/>
                      <w:lang w:val="en-US" w:eastAsia="zh-CN"/>
                    </w:rPr>
                    <w:t>/</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default" w:hAnsi="宋体" w:cs="宋体"/>
                      <w:sz w:val="21"/>
                      <w:szCs w:val="21"/>
                      <w:highlight w:val="none"/>
                      <w:vertAlign w:val="baseline"/>
                      <w:lang w:val="en-US" w:eastAsia="zh-CN"/>
                    </w:rPr>
                    <w:t>不住本次验收范围之内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空压机</w:t>
                  </w:r>
                </w:p>
              </w:tc>
              <w:tc>
                <w:tcPr>
                  <w:tcW w:w="1189"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w:t>
                  </w:r>
                </w:p>
              </w:tc>
              <w:tc>
                <w:tcPr>
                  <w:tcW w:w="69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1</w:t>
                  </w:r>
                </w:p>
              </w:tc>
              <w:tc>
                <w:tcPr>
                  <w:tcW w:w="148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空压机</w:t>
                  </w:r>
                </w:p>
              </w:tc>
              <w:tc>
                <w:tcPr>
                  <w:tcW w:w="125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2</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压缩机</w:t>
                  </w:r>
                </w:p>
              </w:tc>
              <w:tc>
                <w:tcPr>
                  <w:tcW w:w="1189"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w:t>
                  </w:r>
                </w:p>
              </w:tc>
              <w:tc>
                <w:tcPr>
                  <w:tcW w:w="69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2</w:t>
                  </w:r>
                </w:p>
              </w:tc>
              <w:tc>
                <w:tcPr>
                  <w:tcW w:w="148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压缩机</w:t>
                  </w:r>
                </w:p>
              </w:tc>
              <w:tc>
                <w:tcPr>
                  <w:tcW w:w="125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2</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氟利昂制冷设备</w:t>
                  </w:r>
                </w:p>
              </w:tc>
              <w:tc>
                <w:tcPr>
                  <w:tcW w:w="1189"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shd w:val="clear" w:color="auto" w:fill="FFFFFF"/>
                      <w:lang w:bidi="ar"/>
                    </w:rPr>
                    <w:t>R410A</w:t>
                  </w:r>
                </w:p>
              </w:tc>
              <w:tc>
                <w:tcPr>
                  <w:tcW w:w="69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2</w:t>
                  </w:r>
                </w:p>
              </w:tc>
              <w:tc>
                <w:tcPr>
                  <w:tcW w:w="148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氟利昂制冷设备</w:t>
                  </w:r>
                </w:p>
              </w:tc>
              <w:tc>
                <w:tcPr>
                  <w:tcW w:w="125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shd w:val="clear" w:color="auto" w:fill="FFFFFF"/>
                      <w:lang w:bidi="ar"/>
                    </w:rPr>
                    <w:t>R410A</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2</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与环评一致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0"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打蛋机</w:t>
                  </w:r>
                </w:p>
              </w:tc>
              <w:tc>
                <w:tcPr>
                  <w:tcW w:w="1189" w:type="dxa"/>
                  <w:noWrap w:val="0"/>
                  <w:vAlign w:val="center"/>
                </w:tcPr>
                <w:p>
                  <w:pPr>
                    <w:adjustRightInd/>
                    <w:spacing w:line="360" w:lineRule="auto"/>
                    <w:jc w:val="both"/>
                    <w:rPr>
                      <w:rFonts w:hint="default" w:ascii="Times New Roman" w:hAnsi="Times New Roman" w:eastAsia="宋体" w:cs="Times New Roman"/>
                      <w:kern w:val="2"/>
                      <w:sz w:val="21"/>
                      <w:szCs w:val="24"/>
                      <w:shd w:val="clear" w:color="auto" w:fill="FFFFFF"/>
                      <w:lang w:val="en-US" w:eastAsia="zh-CN" w:bidi="ar"/>
                    </w:rPr>
                  </w:pPr>
                  <w:r>
                    <w:rPr>
                      <w:rFonts w:hint="default" w:ascii="Times New Roman" w:hAnsi="Times New Roman" w:cs="Times New Roman"/>
                      <w:szCs w:val="24"/>
                      <w:shd w:val="clear" w:color="auto" w:fill="FFFFFF"/>
                      <w:lang w:bidi="ar"/>
                    </w:rPr>
                    <w:t>/</w:t>
                  </w:r>
                </w:p>
              </w:tc>
              <w:tc>
                <w:tcPr>
                  <w:tcW w:w="69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4"/>
                    </w:rPr>
                    <w:t>2</w:t>
                  </w:r>
                </w:p>
              </w:tc>
              <w:tc>
                <w:tcPr>
                  <w:tcW w:w="1486" w:type="dxa"/>
                  <w:noWrap w:val="0"/>
                  <w:vAlign w:val="center"/>
                </w:tcPr>
                <w:p>
                  <w:pPr>
                    <w:adjustRightInd/>
                    <w:spacing w:line="360" w:lineRule="auto"/>
                    <w:jc w:val="both"/>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w:t>
                  </w:r>
                </w:p>
              </w:tc>
              <w:tc>
                <w:tcPr>
                  <w:tcW w:w="1256" w:type="dxa"/>
                  <w:noWrap w:val="0"/>
                  <w:vAlign w:val="center"/>
                </w:tcPr>
                <w:p>
                  <w:pPr>
                    <w:adjustRightInd/>
                    <w:spacing w:line="360" w:lineRule="auto"/>
                    <w:jc w:val="both"/>
                    <w:rPr>
                      <w:rFonts w:hint="default" w:ascii="Times New Roman" w:hAnsi="Times New Roman" w:eastAsia="宋体" w:cs="Times New Roman"/>
                      <w:kern w:val="2"/>
                      <w:sz w:val="21"/>
                      <w:szCs w:val="24"/>
                      <w:shd w:val="clear" w:color="auto" w:fill="FFFFFF"/>
                      <w:lang w:val="en-US" w:eastAsia="zh-CN" w:bidi="ar"/>
                    </w:rPr>
                  </w:pPr>
                  <w:r>
                    <w:rPr>
                      <w:rFonts w:hint="default" w:ascii="Times New Roman" w:hAnsi="Times New Roman" w:cs="Times New Roman"/>
                      <w:szCs w:val="24"/>
                      <w:shd w:val="clear" w:color="auto" w:fill="FFFFFF"/>
                      <w:lang w:bidi="ar"/>
                    </w:rPr>
                    <w:t>/</w:t>
                  </w:r>
                </w:p>
              </w:tc>
              <w:tc>
                <w:tcPr>
                  <w:tcW w:w="66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w:t>
                  </w:r>
                </w:p>
              </w:tc>
              <w:tc>
                <w:tcPr>
                  <w:tcW w:w="1470"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hAnsi="宋体" w:cs="宋体"/>
                      <w:sz w:val="21"/>
                      <w:szCs w:val="21"/>
                      <w:highlight w:val="none"/>
                      <w:vertAlign w:val="baseline"/>
                      <w:lang w:val="en-US" w:eastAsia="zh-CN"/>
                    </w:rPr>
                  </w:pPr>
                  <w:r>
                    <w:rPr>
                      <w:rFonts w:hint="eastAsia" w:hAnsi="宋体" w:cs="宋体"/>
                      <w:sz w:val="21"/>
                      <w:szCs w:val="21"/>
                      <w:highlight w:val="none"/>
                      <w:vertAlign w:val="baseline"/>
                      <w:lang w:val="en-US" w:eastAsia="zh-CN"/>
                    </w:rPr>
                    <w:t>不住本次验收范围之内</w:t>
                  </w:r>
                </w:p>
              </w:tc>
            </w:tr>
          </w:tbl>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leftChars="0" w:firstLine="482" w:firstLineChars="200"/>
              <w:jc w:val="both"/>
              <w:textAlignment w:val="auto"/>
              <w:rPr>
                <w:rFonts w:hint="eastAsia" w:hAnsi="宋体" w:cs="宋体"/>
                <w:b/>
                <w:bCs/>
                <w:highlight w:val="none"/>
                <w:lang w:val="en-US" w:eastAsia="zh-CN"/>
              </w:rPr>
            </w:pPr>
            <w:r>
              <w:rPr>
                <w:rFonts w:hint="eastAsia" w:hAnsi="宋体" w:cs="宋体"/>
                <w:b/>
                <w:bCs/>
                <w:highlight w:val="none"/>
                <w:lang w:val="en-US" w:eastAsia="zh-CN"/>
              </w:rPr>
              <w:t>劳动定员</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200"/>
              <w:jc w:val="both"/>
              <w:textAlignment w:val="auto"/>
              <w:rPr>
                <w:rFonts w:hint="default" w:hAnsi="宋体" w:cs="宋体"/>
                <w:highlight w:val="none"/>
                <w:lang w:val="en-US" w:eastAsia="zh-CN"/>
              </w:rPr>
            </w:pPr>
            <w:r>
              <w:rPr>
                <w:rFonts w:hint="default" w:hAnsi="宋体" w:cs="宋体"/>
                <w:highlight w:val="none"/>
                <w:lang w:val="en-US" w:eastAsia="zh-CN"/>
              </w:rPr>
              <w:t>劳动定员：项目实施后，定员</w:t>
            </w:r>
            <w:r>
              <w:rPr>
                <w:rFonts w:hint="eastAsia" w:hAnsi="宋体" w:cs="宋体"/>
                <w:highlight w:val="none"/>
                <w:lang w:val="en-US" w:eastAsia="zh-CN"/>
              </w:rPr>
              <w:t>20</w:t>
            </w:r>
            <w:r>
              <w:rPr>
                <w:rFonts w:hint="default" w:hAnsi="宋体" w:cs="宋体"/>
                <w:highlight w:val="none"/>
                <w:lang w:val="en-US" w:eastAsia="zh-CN"/>
              </w:rPr>
              <w:t>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highlight w:val="none"/>
                <w:lang w:val="en-US" w:eastAsia="zh-CN"/>
              </w:rPr>
            </w:pPr>
            <w:r>
              <w:rPr>
                <w:rFonts w:hint="default" w:hAnsi="宋体" w:cs="宋体"/>
                <w:highlight w:val="none"/>
                <w:lang w:val="en-US" w:eastAsia="zh-CN"/>
              </w:rPr>
              <w:t>工作制度：全年工作日按</w:t>
            </w:r>
            <w:r>
              <w:rPr>
                <w:rFonts w:hint="eastAsia" w:hAnsi="宋体" w:cs="宋体"/>
                <w:highlight w:val="none"/>
                <w:lang w:val="en-US" w:eastAsia="zh-CN"/>
              </w:rPr>
              <w:t>300</w:t>
            </w:r>
            <w:r>
              <w:rPr>
                <w:rFonts w:hint="default" w:hAnsi="宋体" w:cs="宋体"/>
                <w:highlight w:val="none"/>
                <w:lang w:val="en-US" w:eastAsia="zh-CN"/>
              </w:rPr>
              <w:t>天计，</w:t>
            </w:r>
            <w:r>
              <w:rPr>
                <w:rFonts w:hint="eastAsia" w:hAnsi="宋体" w:cs="宋体"/>
                <w:highlight w:val="none"/>
                <w:lang w:val="en-US" w:eastAsia="zh-CN"/>
              </w:rPr>
              <w:t>单班制，每班8h年工作2400h</w:t>
            </w:r>
            <w:r>
              <w:rPr>
                <w:rFonts w:hint="default" w:hAnsi="宋体" w:cs="宋体"/>
                <w:highlight w:val="none"/>
                <w:lang w:val="en-US" w:eastAsia="zh-CN"/>
              </w:rPr>
              <w:t>。项目不设食堂及员工宿舍</w:t>
            </w:r>
            <w:r>
              <w:rPr>
                <w:rFonts w:hint="eastAsia" w:hAnsi="宋体" w:cs="宋体"/>
                <w:highlight w:val="none"/>
                <w:lang w:val="en-US" w:eastAsia="zh-CN"/>
              </w:rPr>
              <w:t>.</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leftChars="0" w:firstLine="482" w:firstLineChars="200"/>
              <w:jc w:val="both"/>
              <w:textAlignment w:val="auto"/>
              <w:rPr>
                <w:rFonts w:hint="eastAsia" w:hAnsi="宋体" w:cs="宋体"/>
                <w:b/>
                <w:bCs/>
                <w:highlight w:val="none"/>
                <w:lang w:val="en-US" w:eastAsia="zh-CN"/>
              </w:rPr>
            </w:pPr>
            <w:r>
              <w:rPr>
                <w:rFonts w:hint="eastAsia" w:hAnsi="宋体" w:cs="宋体"/>
                <w:b/>
                <w:bCs/>
                <w:highlight w:val="none"/>
                <w:lang w:val="en-US" w:eastAsia="zh-CN"/>
              </w:rPr>
              <w:t>原辅材料消耗及水平衡</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200"/>
              <w:jc w:val="both"/>
              <w:textAlignment w:val="auto"/>
              <w:rPr>
                <w:rFonts w:hint="eastAsia" w:hAnsi="宋体" w:cs="宋体"/>
                <w:b/>
                <w:bCs/>
                <w:highlight w:val="none"/>
                <w:lang w:val="en-US" w:eastAsia="zh-CN"/>
              </w:rPr>
            </w:pPr>
            <w:r>
              <w:rPr>
                <w:rFonts w:hint="eastAsia" w:hAnsi="宋体" w:cs="宋体"/>
                <w:b/>
                <w:bCs/>
                <w:highlight w:val="none"/>
                <w:lang w:val="en-US" w:eastAsia="zh-CN"/>
              </w:rPr>
              <w:t>4.1主要原辅材料及能源消耗一览表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cs="宋体"/>
                <w:b/>
                <w:bCs/>
                <w:highlight w:val="none"/>
                <w:lang w:val="en-US" w:eastAsia="zh-CN"/>
              </w:rPr>
            </w:pPr>
            <w:r>
              <w:rPr>
                <w:rFonts w:hint="eastAsia" w:hAnsi="宋体" w:cs="宋体"/>
                <w:b/>
                <w:bCs/>
                <w:highlight w:val="none"/>
                <w:lang w:val="en-US" w:eastAsia="zh-CN"/>
              </w:rPr>
              <w:t>表2-3 主要原辅材料及能源消耗一览表</w:t>
            </w:r>
          </w:p>
          <w:tbl>
            <w:tblPr>
              <w:tblStyle w:val="18"/>
              <w:tblW w:w="80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034"/>
              <w:gridCol w:w="1388"/>
              <w:gridCol w:w="1964"/>
              <w:gridCol w:w="945"/>
              <w:gridCol w:w="5"/>
              <w:gridCol w:w="944"/>
              <w:gridCol w:w="1133"/>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序号</w:t>
                  </w:r>
                </w:p>
              </w:tc>
              <w:tc>
                <w:tcPr>
                  <w:tcW w:w="103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种类</w:t>
                  </w: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原辅材料名称</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储存方式/储存位置</w:t>
                  </w:r>
                </w:p>
              </w:tc>
              <w:tc>
                <w:tcPr>
                  <w:tcW w:w="950"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环评年使用量</w:t>
                  </w:r>
                </w:p>
              </w:tc>
              <w:tc>
                <w:tcPr>
                  <w:tcW w:w="94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实际年消耗量</w:t>
                  </w:r>
                </w:p>
              </w:tc>
              <w:tc>
                <w:tcPr>
                  <w:tcW w:w="1138"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48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w:t>
                  </w:r>
                </w:p>
              </w:tc>
              <w:tc>
                <w:tcPr>
                  <w:tcW w:w="1034" w:type="dxa"/>
                  <w:vMerge w:val="restart"/>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蛋挞皮</w:t>
                  </w: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黄油</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冷藏</w:t>
                  </w:r>
                </w:p>
              </w:tc>
              <w:tc>
                <w:tcPr>
                  <w:tcW w:w="94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500t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385</w:t>
                  </w:r>
                  <w:r>
                    <w:rPr>
                      <w:rFonts w:hint="default" w:ascii="Times New Roman" w:hAnsi="Times New Roman" w:cs="Times New Roman"/>
                      <w:sz w:val="21"/>
                      <w:szCs w:val="21"/>
                      <w:highlight w:val="none"/>
                      <w:vertAlign w:val="baseline"/>
                      <w:lang w:val="en-US" w:eastAsia="zh-CN"/>
                    </w:rPr>
                    <w:t>t</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48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2</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面粉</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rPr>
                    <w:t>常温储存</w:t>
                  </w:r>
                </w:p>
              </w:tc>
              <w:tc>
                <w:tcPr>
                  <w:tcW w:w="94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1000t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800</w:t>
                  </w:r>
                  <w:r>
                    <w:rPr>
                      <w:rFonts w:hint="default" w:ascii="Times New Roman" w:hAnsi="Times New Roman" w:cs="Times New Roman"/>
                      <w:sz w:val="21"/>
                      <w:szCs w:val="21"/>
                      <w:highlight w:val="none"/>
                      <w:vertAlign w:val="baseline"/>
                      <w:lang w:val="en-US" w:eastAsia="zh-CN"/>
                    </w:rPr>
                    <w:t>t</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trHeight w:val="48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3</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新鲜自来水</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w:t>
                  </w:r>
                </w:p>
              </w:tc>
              <w:tc>
                <w:tcPr>
                  <w:tcW w:w="94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500m³</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 xml:space="preserve">383 </w:t>
                  </w:r>
                  <w:r>
                    <w:rPr>
                      <w:rFonts w:hint="default" w:ascii="Times New Roman" w:hAnsi="Times New Roman" w:cs="Times New Roman"/>
                      <w:sz w:val="21"/>
                      <w:szCs w:val="21"/>
                      <w:highlight w:val="none"/>
                      <w:vertAlign w:val="baseline"/>
                      <w:lang w:val="en-US" w:eastAsia="zh-CN"/>
                    </w:rPr>
                    <w:t>m³</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48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4</w:t>
                  </w:r>
                </w:p>
              </w:tc>
              <w:tc>
                <w:tcPr>
                  <w:tcW w:w="1034" w:type="dxa"/>
                  <w:vMerge w:val="restart"/>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蛋挞液</w:t>
                  </w: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鸡蛋</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冷藏</w:t>
                  </w:r>
                  <w:r>
                    <w:rPr>
                      <w:rFonts w:hint="eastAsia" w:ascii="Times New Roman" w:cs="Times New Roman"/>
                      <w:sz w:val="21"/>
                      <w:szCs w:val="21"/>
                      <w:highlight w:val="none"/>
                      <w:vertAlign w:val="baseline"/>
                      <w:lang w:val="en-US" w:eastAsia="zh-CN"/>
                    </w:rPr>
                    <w:t xml:space="preserve">或常温阴凉处  </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0t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113</w:t>
                  </w:r>
                  <w:r>
                    <w:rPr>
                      <w:rFonts w:hint="eastAsia" w:ascii="Times New Roman" w:hAnsi="Times New Roman" w:cs="Times New Roman"/>
                      <w:sz w:val="21"/>
                      <w:szCs w:val="21"/>
                      <w:highlight w:val="none"/>
                      <w:vertAlign w:val="baseline"/>
                      <w:lang w:val="en-US" w:eastAsia="zh-CN"/>
                    </w:rPr>
                    <w:t>t</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trHeight w:val="49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5</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奶粉</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rPr>
                    <w:t>常温储存</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0t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114</w:t>
                  </w:r>
                  <w:r>
                    <w:rPr>
                      <w:rFonts w:hint="eastAsia" w:ascii="Times New Roman" w:hAnsi="Times New Roman" w:cs="Times New Roman"/>
                      <w:sz w:val="21"/>
                      <w:szCs w:val="21"/>
                      <w:highlight w:val="none"/>
                      <w:vertAlign w:val="baseline"/>
                      <w:lang w:val="en-US" w:eastAsia="zh-CN"/>
                    </w:rPr>
                    <w:t>t</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49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6</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白糖</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rPr>
                    <w:t>常温储存</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55</w:t>
                  </w:r>
                  <w:r>
                    <w:rPr>
                      <w:rFonts w:hint="default" w:ascii="Times New Roman" w:hAnsi="Times New Roman" w:cs="Times New Roman"/>
                      <w:sz w:val="21"/>
                      <w:szCs w:val="21"/>
                    </w:rPr>
                    <w:t>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48</w:t>
                  </w:r>
                  <w:r>
                    <w:rPr>
                      <w:rFonts w:hint="eastAsia" w:ascii="Times New Roman" w:hAnsi="Times New Roman" w:cs="Times New Roman"/>
                      <w:sz w:val="21"/>
                      <w:szCs w:val="21"/>
                      <w:highlight w:val="none"/>
                      <w:vertAlign w:val="baseline"/>
                      <w:lang w:val="en-US" w:eastAsia="zh-CN"/>
                    </w:rPr>
                    <w:t>t</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trHeight w:val="49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7</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新鲜自来水</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150</w:t>
                  </w:r>
                  <w:r>
                    <w:rPr>
                      <w:rFonts w:hint="default" w:ascii="Times New Roman" w:hAnsi="Times New Roman" w:cs="Times New Roman"/>
                      <w:sz w:val="21"/>
                      <w:szCs w:val="21"/>
                      <w:highlight w:val="none"/>
                      <w:vertAlign w:val="baseline"/>
                      <w:lang w:val="en-US" w:eastAsia="zh-CN"/>
                    </w:rPr>
                    <w:t>m³</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cs="Times New Roman"/>
                      <w:sz w:val="21"/>
                      <w:szCs w:val="21"/>
                      <w:highlight w:val="none"/>
                      <w:vertAlign w:val="baseline"/>
                      <w:lang w:val="en-US" w:eastAsia="zh-CN"/>
                    </w:rPr>
                    <w:t>115</w:t>
                  </w:r>
                  <w:r>
                    <w:rPr>
                      <w:rFonts w:hint="default" w:ascii="Times New Roman" w:hAnsi="Times New Roman" w:cs="Times New Roman"/>
                      <w:sz w:val="21"/>
                      <w:szCs w:val="21"/>
                      <w:highlight w:val="none"/>
                      <w:vertAlign w:val="baseline"/>
                      <w:lang w:val="en-US" w:eastAsia="zh-CN"/>
                    </w:rPr>
                    <w:t>m³</w:t>
                  </w:r>
                </w:p>
              </w:tc>
              <w:tc>
                <w:tcPr>
                  <w:tcW w:w="1133"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49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8</w:t>
                  </w:r>
                </w:p>
              </w:tc>
              <w:tc>
                <w:tcPr>
                  <w:tcW w:w="1034" w:type="dxa"/>
                  <w:vMerge w:val="restart"/>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手抓饼</w:t>
                  </w: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Times New Roman"/>
                      <w:color w:val="000000"/>
                      <w:kern w:val="2"/>
                      <w:sz w:val="21"/>
                      <w:szCs w:val="21"/>
                      <w:highlight w:val="none"/>
                      <w:vertAlign w:val="baseline"/>
                      <w:lang w:val="en-US" w:eastAsia="zh-CN" w:bidi="ar-SA"/>
                    </w:rPr>
                  </w:pPr>
                  <w:r>
                    <w:rPr>
                      <w:rFonts w:hint="default" w:ascii="Times New Roman" w:hAnsi="Times New Roman" w:cs="Times New Roman"/>
                      <w:sz w:val="21"/>
                      <w:szCs w:val="21"/>
                      <w:highlight w:val="none"/>
                      <w:vertAlign w:val="baseline"/>
                      <w:lang w:val="en-US" w:eastAsia="zh-CN"/>
                    </w:rPr>
                    <w:t>黄油</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冷藏</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5</w:t>
                  </w: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w:t>
                  </w:r>
                </w:p>
              </w:tc>
              <w:tc>
                <w:tcPr>
                  <w:tcW w:w="1133" w:type="dxa"/>
                  <w:vMerge w:val="restart"/>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不</w:t>
                  </w:r>
                  <w:r>
                    <w:rPr>
                      <w:rFonts w:hint="eastAsia" w:ascii="Times New Roman" w:hAnsi="Times New Roman" w:cs="Times New Roman"/>
                      <w:sz w:val="21"/>
                      <w:szCs w:val="21"/>
                      <w:highlight w:val="none"/>
                      <w:vertAlign w:val="baseline"/>
                      <w:lang w:val="en-US" w:eastAsia="zh-CN"/>
                    </w:rPr>
                    <w:t>在</w:t>
                  </w:r>
                  <w:r>
                    <w:rPr>
                      <w:rFonts w:hint="default" w:ascii="Times New Roman" w:hAnsi="Times New Roman" w:cs="Times New Roman"/>
                      <w:sz w:val="21"/>
                      <w:szCs w:val="21"/>
                      <w:highlight w:val="none"/>
                      <w:vertAlign w:val="baseline"/>
                      <w:lang w:val="en-US" w:eastAsia="zh-CN"/>
                    </w:rPr>
                    <w:t>本次验收范围之内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trHeight w:val="496"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9</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Times New Roman"/>
                      <w:color w:val="000000"/>
                      <w:kern w:val="2"/>
                      <w:sz w:val="21"/>
                      <w:szCs w:val="21"/>
                      <w:highlight w:val="none"/>
                      <w:vertAlign w:val="baseline"/>
                      <w:lang w:val="en-US" w:eastAsia="zh-CN" w:bidi="ar-SA"/>
                    </w:rPr>
                  </w:pPr>
                  <w:r>
                    <w:rPr>
                      <w:rFonts w:hint="default" w:ascii="Times New Roman" w:hAnsi="Times New Roman" w:cs="Times New Roman"/>
                      <w:sz w:val="21"/>
                      <w:szCs w:val="21"/>
                      <w:highlight w:val="none"/>
                      <w:vertAlign w:val="baseline"/>
                      <w:lang w:val="en-US" w:eastAsia="zh-CN"/>
                    </w:rPr>
                    <w:t>面粉</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常温储存</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300</w:t>
                  </w:r>
                  <w:r>
                    <w:rPr>
                      <w:rFonts w:hint="default" w:ascii="Times New Roman" w:hAnsi="Times New Roman" w:cs="Times New Roman"/>
                      <w:sz w:val="21"/>
                      <w:szCs w:val="21"/>
                    </w:rPr>
                    <w:t>t</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w:t>
                  </w:r>
                </w:p>
              </w:tc>
              <w:tc>
                <w:tcPr>
                  <w:tcW w:w="113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505" w:hRule="atLeast"/>
              </w:trPr>
              <w:tc>
                <w:tcPr>
                  <w:tcW w:w="659"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10</w:t>
                  </w:r>
                </w:p>
              </w:tc>
              <w:tc>
                <w:tcPr>
                  <w:tcW w:w="1034"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c>
                <w:tcPr>
                  <w:tcW w:w="1388"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ascii="Times New Roman" w:hAnsi="Times New Roman" w:eastAsia="宋体" w:cs="Times New Roman"/>
                      <w:color w:val="000000"/>
                      <w:kern w:val="2"/>
                      <w:sz w:val="21"/>
                      <w:szCs w:val="21"/>
                      <w:highlight w:val="none"/>
                      <w:vertAlign w:val="baseline"/>
                      <w:lang w:val="en-US" w:eastAsia="zh-CN" w:bidi="ar-SA"/>
                    </w:rPr>
                  </w:pPr>
                  <w:r>
                    <w:rPr>
                      <w:rFonts w:hint="default" w:ascii="Times New Roman" w:hAnsi="Times New Roman" w:cs="Times New Roman"/>
                      <w:sz w:val="21"/>
                      <w:szCs w:val="21"/>
                      <w:highlight w:val="none"/>
                      <w:vertAlign w:val="baseline"/>
                      <w:lang w:val="en-US" w:eastAsia="zh-CN"/>
                    </w:rPr>
                    <w:t>新鲜自来水</w:t>
                  </w:r>
                </w:p>
              </w:tc>
              <w:tc>
                <w:tcPr>
                  <w:tcW w:w="1964"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default" w:ascii="Times New Roman" w:hAnsi="Times New Roman" w:cs="Times New Roman"/>
                      <w:sz w:val="21"/>
                      <w:szCs w:val="21"/>
                      <w:highlight w:val="none"/>
                      <w:vertAlign w:val="baseline"/>
                      <w:lang w:val="en-US" w:eastAsia="zh-CN"/>
                    </w:rPr>
                    <w:t>/</w:t>
                  </w:r>
                </w:p>
              </w:tc>
              <w:tc>
                <w:tcPr>
                  <w:tcW w:w="945" w:type="dxa"/>
                  <w:noWrap w:val="0"/>
                  <w:vAlign w:val="center"/>
                </w:tcPr>
                <w:p>
                  <w:pPr>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150</w:t>
                  </w:r>
                  <w:r>
                    <w:rPr>
                      <w:rFonts w:hint="default" w:ascii="Times New Roman" w:hAnsi="Times New Roman" w:cs="Times New Roman"/>
                      <w:sz w:val="21"/>
                      <w:szCs w:val="21"/>
                      <w:highlight w:val="none"/>
                      <w:vertAlign w:val="baseline"/>
                      <w:lang w:val="en-US" w:eastAsia="zh-CN"/>
                    </w:rPr>
                    <w:t>m³</w:t>
                  </w:r>
                </w:p>
              </w:tc>
              <w:tc>
                <w:tcPr>
                  <w:tcW w:w="949" w:type="dxa"/>
                  <w:gridSpan w:val="2"/>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r>
                    <w:rPr>
                      <w:rFonts w:hint="eastAsia" w:ascii="Times New Roman" w:hAnsi="Times New Roman" w:cs="Times New Roman"/>
                      <w:sz w:val="21"/>
                      <w:szCs w:val="21"/>
                      <w:highlight w:val="none"/>
                      <w:vertAlign w:val="baseline"/>
                      <w:lang w:val="en-US" w:eastAsia="zh-CN"/>
                    </w:rPr>
                    <w:t>/</w:t>
                  </w:r>
                </w:p>
              </w:tc>
              <w:tc>
                <w:tcPr>
                  <w:tcW w:w="1133" w:type="dxa"/>
                  <w:vMerge w:val="continue"/>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ascii="Times New Roman" w:hAnsi="Times New Roman" w:cs="Times New Roman"/>
                      <w:sz w:val="21"/>
                      <w:szCs w:val="21"/>
                      <w:highlight w:val="none"/>
                      <w:vertAlign w:val="baseline"/>
                      <w:lang w:val="en-US" w:eastAsia="zh-CN"/>
                    </w:rPr>
                  </w:pP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both"/>
              <w:textAlignment w:val="auto"/>
              <w:rPr>
                <w:rFonts w:hint="eastAsia" w:hAnsi="宋体" w:cs="宋体"/>
                <w:b/>
                <w:bCs/>
                <w:highlight w:val="none"/>
                <w:lang w:val="en-US" w:eastAsia="zh-CN"/>
              </w:rPr>
            </w:pPr>
            <w:r>
              <w:rPr>
                <w:rFonts w:hint="eastAsia" w:hAnsi="宋体" w:cs="宋体"/>
                <w:b/>
                <w:bCs/>
                <w:highlight w:val="none"/>
                <w:lang w:val="en-US" w:eastAsia="zh-CN"/>
              </w:rPr>
              <w:t>4.2水源及水平衡</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highlight w:val="none"/>
                <w:lang w:val="en-US" w:eastAsia="zh-CN"/>
              </w:rPr>
            </w:pPr>
            <w:r>
              <w:rPr>
                <w:rFonts w:hint="eastAsia" w:hAnsi="宋体" w:cs="宋体"/>
                <w:highlight w:val="none"/>
                <w:lang w:val="en-US" w:eastAsia="zh-CN"/>
              </w:rPr>
              <w:t xml:space="preserve"> 项目供水由巢湖市市政供水管网。本项目用水主要为产品配料用水、和面用水、设备清洗用水和车间地面保洁用水及员工生活用水，根据企业提供的水费单据证明，年用水量为1098t/a。</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highlight w:val="none"/>
                <w:lang w:val="en-US" w:eastAsia="zh-CN"/>
              </w:rPr>
            </w:pPr>
            <w:r>
              <w:rPr>
                <w:rFonts w:hint="eastAsia" w:hAnsi="宋体" w:cs="宋体"/>
                <w:highlight w:val="none"/>
                <w:lang w:val="en-US" w:eastAsia="zh-CN"/>
              </w:rPr>
              <w:t>厂区排水排水施行雨污分流，雨水收集后排入雨水官网，污水收集后排入污水管网，包括设备清洗废水、地面清洗废水、鸡蛋清洗废水、员工生活废水。污水统一汇入厂区总排口接入市政污水官网排入巢湖市岗岭污水处理厂达标后排入裕溪河。</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eastAsia="宋体" w:cs="宋体"/>
                <w:highlight w:val="none"/>
                <w:lang w:val="en-US" w:eastAsia="zh-CN"/>
              </w:rPr>
            </w:pPr>
            <w:r>
              <w:rPr>
                <w:rFonts w:hint="eastAsia"/>
                <w:lang w:val="en-US" w:eastAsia="zh-CN"/>
              </w:rPr>
              <w:t xml:space="preserve">   </w:t>
            </w:r>
            <w:r>
              <w:drawing>
                <wp:inline distT="0" distB="0" distL="114300" distR="114300">
                  <wp:extent cx="3729990" cy="2695575"/>
                  <wp:effectExtent l="0" t="0" r="381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729990" cy="2695575"/>
                          </a:xfrm>
                          <a:prstGeom prst="rect">
                            <a:avLst/>
                          </a:prstGeom>
                          <a:noFill/>
                          <a:ln>
                            <a:noFill/>
                          </a:ln>
                        </pic:spPr>
                      </pic:pic>
                    </a:graphicData>
                  </a:graphic>
                </wp:inline>
              </w:drawing>
            </w:r>
            <w:r>
              <w:rPr>
                <w:rFonts w:hint="eastAsia"/>
                <w:lang w:val="en-US" w:eastAsia="zh-CN"/>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cs="宋体"/>
                <w:b/>
                <w:bCs/>
                <w:highlight w:val="none"/>
                <w:lang w:val="en-US" w:eastAsia="zh-CN"/>
              </w:rPr>
            </w:pPr>
            <w:r>
              <w:rPr>
                <w:rFonts w:hint="eastAsia" w:hAnsi="宋体" w:cs="宋体"/>
                <w:b/>
                <w:bCs/>
                <w:highlight w:val="none"/>
                <w:lang w:val="en-US" w:eastAsia="zh-CN"/>
              </w:rPr>
              <w:t>图2-4项目水平衡图</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leftChars="0" w:firstLine="482" w:firstLineChars="200"/>
              <w:jc w:val="both"/>
              <w:textAlignment w:val="auto"/>
              <w:rPr>
                <w:rFonts w:hint="eastAsia" w:hAnsi="宋体" w:cs="宋体"/>
                <w:b/>
                <w:bCs/>
                <w:highlight w:val="none"/>
                <w:lang w:val="en-US" w:eastAsia="zh-CN"/>
              </w:rPr>
            </w:pPr>
            <w:r>
              <w:rPr>
                <w:rFonts w:hint="eastAsia" w:hAnsi="宋体" w:cs="宋体"/>
                <w:b/>
                <w:bCs/>
                <w:highlight w:val="none"/>
                <w:lang w:val="en-US" w:eastAsia="zh-CN"/>
              </w:rPr>
              <w:t>生产工艺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200"/>
              <w:jc w:val="both"/>
              <w:textAlignment w:val="auto"/>
              <w:rPr>
                <w:rFonts w:hint="eastAsia" w:hAnsi="宋体" w:cs="宋体"/>
                <w:sz w:val="24"/>
                <w:szCs w:val="24"/>
                <w:highlight w:val="none"/>
                <w:lang w:val="en-US" w:eastAsia="zh-CN"/>
              </w:rPr>
            </w:pPr>
            <w:r>
              <w:rPr>
                <w:rFonts w:hint="eastAsia" w:hAnsi="宋体" w:cs="宋体"/>
                <w:sz w:val="24"/>
                <w:szCs w:val="24"/>
                <w:highlight w:val="none"/>
                <w:lang w:val="en-US" w:eastAsia="zh-CN"/>
              </w:rPr>
              <w:t>本次验收为阶段性验收，主要是针对蛋挞皮、蛋挞液的验收。</w:t>
            </w:r>
          </w:p>
          <w:p>
            <w:pPr>
              <w:adjustRightInd/>
              <w:spacing w:line="360" w:lineRule="auto"/>
              <w:ind w:firstLine="480" w:firstLineChars="200"/>
              <w:jc w:val="both"/>
              <w:rPr>
                <w:sz w:val="24"/>
                <w:szCs w:val="24"/>
              </w:rPr>
            </w:pPr>
            <w:r>
              <w:rPr>
                <w:rFonts w:hint="eastAsia"/>
                <w:sz w:val="24"/>
                <w:szCs w:val="24"/>
              </w:rPr>
              <w:t>（1）蛋挞皮工艺流程及产排污节点图见</w:t>
            </w:r>
            <w:r>
              <w:rPr>
                <w:rFonts w:hint="eastAsia"/>
                <w:sz w:val="24"/>
                <w:szCs w:val="24"/>
                <w:lang w:eastAsia="zh-CN"/>
              </w:rPr>
              <w:t>下图</w:t>
            </w:r>
            <w:r>
              <w:rPr>
                <w:rFonts w:hint="eastAsia"/>
                <w:sz w:val="24"/>
                <w:szCs w:val="24"/>
              </w:rPr>
              <w:t>。</w:t>
            </w:r>
          </w:p>
          <w:p>
            <w:pPr>
              <w:adjustRightInd/>
              <w:spacing w:line="360" w:lineRule="auto"/>
              <w:ind w:firstLine="420" w:firstLineChars="200"/>
              <w:jc w:val="both"/>
              <w:rPr>
                <w:rFonts w:hint="eastAsia"/>
                <w:szCs w:val="24"/>
              </w:rPr>
            </w:pPr>
            <w:r>
              <w:drawing>
                <wp:inline distT="0" distB="0" distL="114300" distR="114300">
                  <wp:extent cx="5267960" cy="2145665"/>
                  <wp:effectExtent l="0" t="0" r="8890" b="698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9"/>
                          <a:stretch>
                            <a:fillRect/>
                          </a:stretch>
                        </pic:blipFill>
                        <pic:spPr>
                          <a:xfrm>
                            <a:off x="0" y="0"/>
                            <a:ext cx="5267960" cy="2145665"/>
                          </a:xfrm>
                          <a:prstGeom prst="rect">
                            <a:avLst/>
                          </a:prstGeom>
                          <a:noFill/>
                          <a:ln>
                            <a:noFill/>
                          </a:ln>
                        </pic:spPr>
                      </pic:pic>
                    </a:graphicData>
                  </a:graphic>
                </wp:inline>
              </w:drawing>
            </w:r>
          </w:p>
          <w:p>
            <w:pPr>
              <w:adjustRightInd/>
              <w:spacing w:line="360" w:lineRule="auto"/>
              <w:jc w:val="center"/>
              <w:rPr>
                <w:b/>
                <w:bCs/>
                <w:sz w:val="24"/>
                <w:szCs w:val="24"/>
              </w:rPr>
            </w:pPr>
            <w:r>
              <w:rPr>
                <w:rFonts w:hint="eastAsia"/>
                <w:b/>
                <w:bCs/>
                <w:sz w:val="24"/>
                <w:szCs w:val="24"/>
              </w:rPr>
              <w:t>图</w:t>
            </w:r>
            <w:r>
              <w:rPr>
                <w:rFonts w:hint="eastAsia"/>
                <w:b/>
                <w:bCs/>
                <w:sz w:val="24"/>
                <w:szCs w:val="24"/>
                <w:lang w:val="en-US" w:eastAsia="zh-CN"/>
              </w:rPr>
              <w:t>2-5</w:t>
            </w:r>
            <w:r>
              <w:rPr>
                <w:rFonts w:hint="eastAsia"/>
                <w:b/>
                <w:bCs/>
                <w:sz w:val="24"/>
                <w:szCs w:val="24"/>
              </w:rPr>
              <w:t>蛋挞皮工艺流程及产排污节点图</w:t>
            </w:r>
          </w:p>
          <w:p>
            <w:pPr>
              <w:spacing w:line="360" w:lineRule="auto"/>
              <w:ind w:firstLine="482" w:firstLineChars="200"/>
              <w:rPr>
                <w:rFonts w:hint="eastAsia"/>
                <w:sz w:val="24"/>
                <w:szCs w:val="24"/>
              </w:rPr>
            </w:pPr>
            <w:r>
              <w:rPr>
                <w:b/>
                <w:bCs/>
                <w:sz w:val="24"/>
                <w:szCs w:val="24"/>
              </w:rPr>
              <w:t>蛋挞皮工艺流程及产排污节点工艺说明</w:t>
            </w:r>
            <w:r>
              <w:rPr>
                <w:rFonts w:hint="eastAsia"/>
                <w:b/>
                <w:bCs/>
                <w:sz w:val="24"/>
                <w:szCs w:val="24"/>
              </w:rPr>
              <w:t>：</w:t>
            </w:r>
            <w:r>
              <w:rPr>
                <w:sz w:val="24"/>
                <w:szCs w:val="24"/>
              </w:rPr>
              <w:t>将外购的原料面粉和水通过一定的比例依次投入到和面机料仓内，启动和面机，将原料搅拌为面团状。再经切面、</w:t>
            </w:r>
            <w:r>
              <w:rPr>
                <w:color w:val="000000"/>
                <w:sz w:val="24"/>
                <w:szCs w:val="24"/>
              </w:rPr>
              <w:t>起酥、成型、速冻后得到蛋挞皮成品。</w:t>
            </w:r>
            <w:r>
              <w:rPr>
                <w:rFonts w:hint="eastAsia"/>
                <w:color w:val="000000"/>
                <w:sz w:val="24"/>
                <w:szCs w:val="24"/>
              </w:rPr>
              <w:t>（注：</w:t>
            </w:r>
            <w:r>
              <w:rPr>
                <w:rFonts w:hint="eastAsia"/>
                <w:color w:val="000000"/>
                <w:sz w:val="24"/>
                <w:szCs w:val="24"/>
                <w:lang w:eastAsia="zh-CN"/>
              </w:rPr>
              <w:t>起酥过程不涉及加热、涂抹黄油、仅为面团拉伸。</w:t>
            </w:r>
            <w:r>
              <w:rPr>
                <w:rFonts w:hint="eastAsia"/>
                <w:sz w:val="24"/>
                <w:szCs w:val="24"/>
              </w:rPr>
              <w:t>速冻过程工艺要求为在零下30~40℃条件下，在20~45min内，产品中心温度要达到零下18℃以下。）</w:t>
            </w:r>
            <w:r>
              <w:rPr>
                <w:sz w:val="24"/>
                <w:szCs w:val="24"/>
              </w:rPr>
              <w:t>速冻结束后通过人工进行袋装，袋装规格为1080克/袋、600克/袋。包装后通过封口机进行封口</w:t>
            </w:r>
            <w:r>
              <w:rPr>
                <w:rFonts w:hint="eastAsia"/>
                <w:sz w:val="24"/>
                <w:szCs w:val="24"/>
              </w:rPr>
              <w:t>，最后</w:t>
            </w:r>
            <w:r>
              <w:rPr>
                <w:sz w:val="24"/>
                <w:szCs w:val="24"/>
              </w:rPr>
              <w:t>入成品冷冻库。生产过程中产生的主要污染物为配料</w:t>
            </w:r>
            <w:r>
              <w:rPr>
                <w:rFonts w:hint="eastAsia"/>
                <w:sz w:val="24"/>
                <w:szCs w:val="24"/>
                <w:lang w:eastAsia="zh-CN"/>
              </w:rPr>
              <w:t>、</w:t>
            </w:r>
            <w:r>
              <w:rPr>
                <w:sz w:val="24"/>
                <w:szCs w:val="24"/>
              </w:rPr>
              <w:t>和面粉尘、废原料包装</w:t>
            </w:r>
            <w:r>
              <w:rPr>
                <w:rFonts w:hint="eastAsia"/>
                <w:sz w:val="24"/>
                <w:szCs w:val="24"/>
                <w:lang w:eastAsia="zh-CN"/>
              </w:rPr>
              <w:t>物</w:t>
            </w:r>
            <w:r>
              <w:rPr>
                <w:sz w:val="24"/>
                <w:szCs w:val="24"/>
              </w:rPr>
              <w:t>、不合格</w:t>
            </w:r>
            <w:r>
              <w:rPr>
                <w:rFonts w:hint="eastAsia"/>
                <w:sz w:val="24"/>
                <w:szCs w:val="24"/>
              </w:rPr>
              <w:t>成型</w:t>
            </w:r>
            <w:r>
              <w:rPr>
                <w:sz w:val="24"/>
                <w:szCs w:val="24"/>
              </w:rPr>
              <w:t>产品及设备噪声。</w:t>
            </w:r>
          </w:p>
          <w:p>
            <w:pPr>
              <w:topLinePunct/>
              <w:adjustRightInd/>
              <w:spacing w:line="360" w:lineRule="auto"/>
              <w:ind w:firstLine="480" w:firstLineChars="200"/>
              <w:rPr>
                <w:rFonts w:hint="eastAsia"/>
                <w:b/>
                <w:szCs w:val="24"/>
              </w:rPr>
            </w:pPr>
            <w:r>
              <w:rPr>
                <w:rFonts w:hint="eastAsia"/>
                <w:sz w:val="24"/>
                <w:szCs w:val="24"/>
              </w:rPr>
              <w:t>（2）蛋挞液工艺流程及产排污节点图见</w:t>
            </w:r>
            <w:r>
              <w:rPr>
                <w:rFonts w:hint="eastAsia"/>
                <w:sz w:val="24"/>
                <w:szCs w:val="24"/>
                <w:lang w:eastAsia="zh-CN"/>
              </w:rPr>
              <w:t>下图</w:t>
            </w:r>
            <w:r>
              <w:rPr>
                <w:rFonts w:hint="eastAsia"/>
                <w:sz w:val="24"/>
                <w:szCs w:val="24"/>
              </w:rPr>
              <w:t>。</w:t>
            </w:r>
          </w:p>
          <w:p>
            <w:pPr>
              <w:topLinePunct/>
              <w:adjustRightInd/>
              <w:spacing w:line="360" w:lineRule="auto"/>
              <w:jc w:val="center"/>
            </w:pPr>
            <w:r>
              <w:drawing>
                <wp:inline distT="0" distB="0" distL="114300" distR="114300">
                  <wp:extent cx="5273040" cy="981075"/>
                  <wp:effectExtent l="0" t="0" r="381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5273040" cy="981075"/>
                          </a:xfrm>
                          <a:prstGeom prst="rect">
                            <a:avLst/>
                          </a:prstGeom>
                          <a:noFill/>
                          <a:ln>
                            <a:noFill/>
                          </a:ln>
                        </pic:spPr>
                      </pic:pic>
                    </a:graphicData>
                  </a:graphic>
                </wp:inline>
              </w:drawing>
            </w:r>
          </w:p>
          <w:p>
            <w:pPr>
              <w:topLinePunct/>
              <w:adjustRightInd/>
              <w:spacing w:line="360" w:lineRule="auto"/>
              <w:jc w:val="center"/>
              <w:rPr>
                <w:b/>
                <w:bCs/>
                <w:szCs w:val="24"/>
              </w:rPr>
            </w:pPr>
            <w:r>
              <w:rPr>
                <w:b/>
                <w:bCs/>
                <w:szCs w:val="24"/>
              </w:rPr>
              <w:t>图</w:t>
            </w:r>
            <w:r>
              <w:rPr>
                <w:rFonts w:hint="eastAsia"/>
                <w:b/>
                <w:bCs/>
                <w:szCs w:val="24"/>
                <w:lang w:val="en-US" w:eastAsia="zh-CN"/>
              </w:rPr>
              <w:t>2-6</w:t>
            </w:r>
            <w:r>
              <w:rPr>
                <w:b/>
                <w:bCs/>
                <w:szCs w:val="24"/>
              </w:rPr>
              <w:t xml:space="preserve"> 蛋挞液工艺流程及产排污节点图</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200"/>
              <w:jc w:val="both"/>
              <w:textAlignment w:val="auto"/>
              <w:rPr>
                <w:rFonts w:hint="eastAsia"/>
                <w:szCs w:val="24"/>
              </w:rPr>
            </w:pPr>
            <w:r>
              <w:rPr>
                <w:rFonts w:hint="eastAsia"/>
                <w:b/>
              </w:rPr>
              <w:t>蛋挞液工艺流程及产排污节点工艺说明：</w:t>
            </w:r>
            <w:r>
              <w:rPr>
                <w:szCs w:val="24"/>
              </w:rPr>
              <w:t>将外购的原料鸡蛋、奶粉、白糖和水通过一定的比例依次投入到搅拌机料仓内，启动搅拌机，将原料搅拌为成品</w:t>
            </w:r>
            <w:r>
              <w:rPr>
                <w:rFonts w:hint="eastAsia"/>
                <w:szCs w:val="24"/>
              </w:rPr>
              <w:t>状</w:t>
            </w:r>
            <w:r>
              <w:rPr>
                <w:rFonts w:hint="eastAsia"/>
                <w:szCs w:val="24"/>
                <w:lang w:eastAsia="zh-CN"/>
              </w:rPr>
              <w:t>，</w:t>
            </w:r>
            <w:r>
              <w:rPr>
                <w:szCs w:val="24"/>
              </w:rPr>
              <w:t>在经灌装机进行灌装（每瓶500g）</w:t>
            </w:r>
            <w:r>
              <w:rPr>
                <w:rFonts w:hint="eastAsia"/>
                <w:szCs w:val="24"/>
                <w:lang w:eastAsia="zh-CN"/>
              </w:rPr>
              <w:t>，</w:t>
            </w:r>
            <w:r>
              <w:rPr>
                <w:szCs w:val="24"/>
              </w:rPr>
              <w:t>然后入成品冷冻库。生产过程中产生的主要污染物为废原料包装</w:t>
            </w:r>
            <w:r>
              <w:rPr>
                <w:rFonts w:hint="eastAsia"/>
                <w:szCs w:val="24"/>
              </w:rPr>
              <w:t>、废料废渣（鸡蛋壳等）及设备噪声。</w:t>
            </w:r>
          </w:p>
          <w:p>
            <w:pPr>
              <w:pStyle w:val="2"/>
              <w:keepNext w:val="0"/>
              <w:keepLines w:val="0"/>
              <w:pageBreakBefore w:val="0"/>
              <w:widowControl w:val="0"/>
              <w:numPr>
                <w:ilvl w:val="0"/>
                <w:numId w:val="2"/>
              </w:numPr>
              <w:kinsoku/>
              <w:wordWrap/>
              <w:overflowPunct/>
              <w:topLinePunct w:val="0"/>
              <w:autoSpaceDE w:val="0"/>
              <w:autoSpaceDN w:val="0"/>
              <w:bidi w:val="0"/>
              <w:adjustRightInd w:val="0"/>
              <w:snapToGrid/>
              <w:spacing w:line="360" w:lineRule="auto"/>
              <w:ind w:left="0" w:leftChars="0" w:firstLine="482" w:firstLineChars="200"/>
              <w:jc w:val="both"/>
              <w:textAlignment w:val="auto"/>
              <w:rPr>
                <w:rFonts w:hint="eastAsia"/>
                <w:b/>
                <w:bCs/>
                <w:szCs w:val="24"/>
                <w:lang w:val="en-US" w:eastAsia="zh-CN"/>
              </w:rPr>
            </w:pPr>
            <w:r>
              <w:rPr>
                <w:rFonts w:hint="eastAsia"/>
                <w:b/>
                <w:bCs/>
                <w:szCs w:val="24"/>
                <w:lang w:val="en-US" w:eastAsia="zh-CN"/>
              </w:rPr>
              <w:t>项目变动情况</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Cs w:val="24"/>
                <w:lang w:val="en-US" w:eastAsia="zh-CN"/>
              </w:rPr>
            </w:pPr>
            <w:r>
              <w:rPr>
                <w:rFonts w:hint="eastAsia"/>
                <w:szCs w:val="24"/>
                <w:lang w:val="en-US" w:eastAsia="zh-CN"/>
              </w:rPr>
              <w:t>经过调查和建设单位核实，该项目企业名称、地点、工艺流程均与环评一致。目前主体建设内容、生产能力为蛋挞半成品蛋挞皮、蛋挞液进行阶段性验收，该项目不存在重大变动，因此符合验收标准。</w:t>
            </w:r>
          </w:p>
        </w:tc>
      </w:tr>
    </w:tbl>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default" w:cs="Times New Roman"/>
          <w:b/>
          <w:sz w:val="28"/>
          <w:szCs w:val="28"/>
          <w:lang w:val="en-US" w:eastAsia="zh-CN"/>
        </w:rPr>
      </w:pPr>
      <w:bookmarkStart w:id="6" w:name="_Toc2131"/>
      <w:bookmarkStart w:id="7" w:name="_Toc17117"/>
      <w:bookmarkStart w:id="8" w:name="_Toc14542"/>
      <w:r>
        <w:rPr>
          <w:rFonts w:hint="eastAsia" w:cs="Times New Roman"/>
          <w:b/>
          <w:sz w:val="28"/>
          <w:szCs w:val="28"/>
          <w:lang w:val="en-US" w:eastAsia="zh-CN"/>
        </w:rPr>
        <w:t xml:space="preserve"> 表三  主要污染物及治理设施</w:t>
      </w:r>
      <w:bookmarkEnd w:id="6"/>
      <w:bookmarkEnd w:id="7"/>
      <w:bookmarkEnd w:id="8"/>
      <w:r>
        <w:rPr>
          <w:rFonts w:hint="eastAsia" w:cs="Times New Roman"/>
          <w:b/>
          <w:sz w:val="28"/>
          <w:szCs w:val="28"/>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keepNext w:val="0"/>
              <w:keepLines w:val="0"/>
              <w:pageBreakBefore w:val="0"/>
              <w:widowControl w:val="0"/>
              <w:numPr>
                <w:ilvl w:val="0"/>
                <w:numId w:val="3"/>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主要污染源及其治理</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1.1 废气污染物及其治理设施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eastAsia="宋体"/>
                <w:vertAlign w:val="baseline"/>
                <w:lang w:val="en-US" w:eastAsia="zh-CN"/>
              </w:rPr>
            </w:pPr>
            <w:r>
              <w:rPr>
                <w:rFonts w:hint="eastAsia"/>
                <w:vertAlign w:val="baseline"/>
                <w:lang w:val="en-US" w:eastAsia="zh-CN"/>
              </w:rPr>
              <w:t>项目运营过程中产生的废气为面粉在配料、和面过程产生的粉尘，</w:t>
            </w:r>
            <w:r>
              <w:rPr>
                <w:rFonts w:hint="eastAsia" w:ascii="宋体" w:hAnsi="宋体" w:cs="宋体"/>
                <w:szCs w:val="24"/>
              </w:rPr>
              <w:t>通过1台工业吸尘器对无组织粉尘进行收集，并加强车间保洁；车间内安装空气净化系统</w:t>
            </w:r>
            <w:r>
              <w:rPr>
                <w:rFonts w:hint="eastAsia" w:ascii="宋体" w:hAnsi="宋体" w:cs="宋体"/>
                <w:szCs w:val="24"/>
                <w:lang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hAnsi="宋体" w:cs="宋体"/>
                <w:szCs w:val="24"/>
                <w:lang w:eastAsia="zh-CN"/>
              </w:rPr>
            </w:pPr>
            <w:r>
              <w:rPr>
                <w:rFonts w:hint="eastAsia" w:ascii="宋体" w:hAnsi="宋体" w:cs="宋体"/>
                <w:szCs w:val="24"/>
                <w:lang w:eastAsia="zh-CN"/>
              </w:rPr>
              <w:t>投料时</w:t>
            </w:r>
            <w:r>
              <w:rPr>
                <w:rFonts w:hint="eastAsia" w:ascii="宋体" w:hAnsi="宋体" w:cs="宋体"/>
                <w:szCs w:val="24"/>
              </w:rPr>
              <w:t>轻拿轻投、减少无组织粉尘</w:t>
            </w:r>
            <w:r>
              <w:rPr>
                <w:rFonts w:hint="eastAsia" w:ascii="宋体" w:hAnsi="宋体" w:cs="宋体"/>
                <w:szCs w:val="24"/>
                <w:lang w:eastAsia="zh-CN"/>
              </w:rPr>
              <w:t>产生</w:t>
            </w:r>
            <w:r>
              <w:rPr>
                <w:rFonts w:hint="eastAsia" w:hAnsi="宋体" w:cs="宋体"/>
                <w:szCs w:val="24"/>
                <w:lang w:eastAsia="zh-CN"/>
              </w:rPr>
              <w:t>。</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hAnsi="宋体" w:cs="宋体"/>
                <w:b/>
                <w:bCs/>
                <w:szCs w:val="24"/>
                <w:lang w:val="en-US" w:eastAsia="zh-CN"/>
              </w:rPr>
            </w:pPr>
            <w:r>
              <w:rPr>
                <w:rFonts w:hint="eastAsia" w:hAnsi="宋体" w:cs="宋体"/>
                <w:b/>
                <w:bCs/>
                <w:szCs w:val="24"/>
                <w:lang w:val="en-US" w:eastAsia="zh-CN"/>
              </w:rPr>
              <w:t>1.2 废水污染物及治理措施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bCs/>
                <w:lang w:eastAsia="zh-CN"/>
              </w:rPr>
            </w:pPr>
            <w:r>
              <w:rPr>
                <w:rFonts w:hint="eastAsia" w:hAnsi="宋体" w:cs="宋体"/>
                <w:szCs w:val="24"/>
                <w:lang w:val="en-US" w:eastAsia="zh-CN"/>
              </w:rPr>
              <w:t>本项目用水</w:t>
            </w:r>
            <w:r>
              <w:rPr>
                <w:rFonts w:hAnsi="宋体"/>
                <w:bCs/>
              </w:rPr>
              <w:t>主要为产品配料</w:t>
            </w:r>
            <w:r>
              <w:rPr>
                <w:rFonts w:hint="eastAsia" w:hAnsi="宋体"/>
                <w:bCs/>
              </w:rPr>
              <w:t>、</w:t>
            </w:r>
            <w:r>
              <w:rPr>
                <w:rFonts w:hAnsi="宋体"/>
                <w:bCs/>
              </w:rPr>
              <w:t>设备清洗用水和车间地面保洁用水</w:t>
            </w:r>
            <w:r>
              <w:rPr>
                <w:rFonts w:hint="eastAsia" w:hAnsi="宋体"/>
                <w:bCs/>
              </w:rPr>
              <w:t>及员工生活用水</w:t>
            </w:r>
            <w:r>
              <w:rPr>
                <w:rFonts w:hAnsi="宋体"/>
                <w:bCs/>
              </w:rPr>
              <w:t>。</w:t>
            </w:r>
            <w:r>
              <w:rPr>
                <w:rFonts w:hint="eastAsia" w:hAnsi="宋体"/>
                <w:bCs/>
                <w:lang w:eastAsia="zh-CN"/>
              </w:rPr>
              <w:t>产品配料用水是产品带走不外排；设备清洗用水和车间保洁用水通过厂区的自设的隔油沉淀池预处理后连接到园区污水管网；员工生活用水产生的废水经化粪池预处理达标后接入园区污水管网后在总排口与隔油池预处理后的废水一起接市政管网排入岗岭污水处理厂。</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jc w:val="center"/>
              <w:textAlignment w:val="auto"/>
              <w:rPr>
                <w:rFonts w:hint="eastAsia" w:hAnsi="宋体"/>
                <w:b/>
                <w:bCs w:val="0"/>
                <w:lang w:val="en-US" w:eastAsia="zh-CN"/>
              </w:rPr>
            </w:pPr>
            <w:r>
              <w:rPr>
                <w:rFonts w:hint="eastAsia" w:hAnsi="宋体"/>
                <w:b/>
                <w:bCs w:val="0"/>
                <w:lang w:val="en-US" w:eastAsia="zh-CN"/>
              </w:rPr>
              <w:t>表3-1 废水处理设施一览表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9"/>
              <w:gridCol w:w="1417"/>
              <w:gridCol w:w="2037"/>
              <w:gridCol w:w="1523"/>
              <w:gridCol w:w="1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污染物种类</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排放量t/天</w:t>
                  </w:r>
                </w:p>
              </w:tc>
              <w:tc>
                <w:tcPr>
                  <w:tcW w:w="203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排放规律</w:t>
                  </w:r>
                </w:p>
              </w:tc>
              <w:tc>
                <w:tcPr>
                  <w:tcW w:w="1523"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治理措施</w:t>
                  </w:r>
                </w:p>
              </w:tc>
              <w:tc>
                <w:tcPr>
                  <w:tcW w:w="166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排放去向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产品配料</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w:t>
                  </w:r>
                </w:p>
              </w:tc>
              <w:tc>
                <w:tcPr>
                  <w:tcW w:w="203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产品带走，不外排</w:t>
                  </w:r>
                </w:p>
              </w:tc>
              <w:tc>
                <w:tcPr>
                  <w:tcW w:w="1523"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w:t>
                  </w:r>
                </w:p>
              </w:tc>
              <w:tc>
                <w:tcPr>
                  <w:tcW w:w="166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设备清洗</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0.0525</w:t>
                  </w:r>
                </w:p>
              </w:tc>
              <w:tc>
                <w:tcPr>
                  <w:tcW w:w="2037" w:type="dxa"/>
                  <w:vMerge w:val="restart"/>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间断排放</w:t>
                  </w:r>
                </w:p>
              </w:tc>
              <w:tc>
                <w:tcPr>
                  <w:tcW w:w="1523" w:type="dxa"/>
                  <w:vMerge w:val="restart"/>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隔油沉淀池</w:t>
                  </w:r>
                </w:p>
              </w:tc>
              <w:tc>
                <w:tcPr>
                  <w:tcW w:w="1660" w:type="dxa"/>
                  <w:vMerge w:val="restart"/>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巢湖市岗岭污水处理厂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车间保洁</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0.0225</w:t>
                  </w:r>
                </w:p>
              </w:tc>
              <w:tc>
                <w:tcPr>
                  <w:tcW w:w="2037"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c>
                <w:tcPr>
                  <w:tcW w:w="1523" w:type="dxa"/>
                  <w:vMerge w:val="continue"/>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c>
                <w:tcPr>
                  <w:tcW w:w="1660"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职工生活废水</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0.85</w:t>
                  </w:r>
                </w:p>
              </w:tc>
              <w:tc>
                <w:tcPr>
                  <w:tcW w:w="2037"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c>
                <w:tcPr>
                  <w:tcW w:w="1523"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r>
                    <w:rPr>
                      <w:rFonts w:hint="eastAsia" w:hAnsi="宋体"/>
                      <w:bCs/>
                      <w:vertAlign w:val="baseline"/>
                      <w:lang w:val="en-US" w:eastAsia="zh-CN"/>
                    </w:rPr>
                    <w:t>化粪池</w:t>
                  </w:r>
                </w:p>
              </w:tc>
              <w:tc>
                <w:tcPr>
                  <w:tcW w:w="1660"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bCs/>
                      <w:vertAlign w:val="baseline"/>
                      <w:lang w:val="en-US" w:eastAsia="zh-CN"/>
                    </w:rPr>
                  </w:pPr>
                  <w:r>
                    <w:rPr>
                      <w:rFonts w:hint="eastAsia" w:hAnsi="宋体"/>
                      <w:bCs/>
                      <w:vertAlign w:val="baseline"/>
                      <w:lang w:val="en-US" w:eastAsia="zh-CN"/>
                    </w:rPr>
                    <w:t>鸡蛋清洗废水</w:t>
                  </w:r>
                </w:p>
              </w:tc>
              <w:tc>
                <w:tcPr>
                  <w:tcW w:w="141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highlight w:val="none"/>
                      <w:vertAlign w:val="baseline"/>
                      <w:lang w:val="en-US" w:eastAsia="zh-CN"/>
                    </w:rPr>
                  </w:pPr>
                  <w:r>
                    <w:rPr>
                      <w:rFonts w:hint="eastAsia" w:hAnsi="宋体"/>
                      <w:bCs/>
                      <w:highlight w:val="none"/>
                      <w:vertAlign w:val="baseline"/>
                      <w:lang w:val="en-US" w:eastAsia="zh-CN"/>
                    </w:rPr>
                    <w:t>0.675</w:t>
                  </w:r>
                </w:p>
              </w:tc>
              <w:tc>
                <w:tcPr>
                  <w:tcW w:w="2037"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c>
                <w:tcPr>
                  <w:tcW w:w="1523"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hAnsi="宋体"/>
                      <w:bCs/>
                      <w:vertAlign w:val="baseline"/>
                      <w:lang w:val="en-US" w:eastAsia="zh-CN"/>
                    </w:rPr>
                  </w:pPr>
                </w:p>
              </w:tc>
              <w:tc>
                <w:tcPr>
                  <w:tcW w:w="1660" w:type="dxa"/>
                  <w:vMerge w:val="continue"/>
                  <w:tcBorders/>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hAnsi="宋体"/>
                      <w:bCs/>
                      <w:vertAlign w:val="baseline"/>
                      <w:lang w:val="en-US" w:eastAsia="zh-CN"/>
                    </w:rPr>
                  </w:pP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附污水处理设施 隔油沉淀池</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drawing>
                <wp:inline distT="0" distB="0" distL="114300" distR="114300">
                  <wp:extent cx="4747260" cy="2301875"/>
                  <wp:effectExtent l="0" t="0" r="15240" b="3175"/>
                  <wp:docPr id="4" name="图片 4" descr="3b892d3a9c961ea246a48317eb00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b892d3a9c961ea246a48317eb00114"/>
                          <pic:cNvPicPr>
                            <a:picLocks noChangeAspect="1"/>
                          </pic:cNvPicPr>
                        </pic:nvPicPr>
                        <pic:blipFill>
                          <a:blip r:embed="rId11"/>
                          <a:stretch>
                            <a:fillRect/>
                          </a:stretch>
                        </pic:blipFill>
                        <pic:spPr>
                          <a:xfrm>
                            <a:off x="0" y="0"/>
                            <a:ext cx="4747260" cy="2301875"/>
                          </a:xfrm>
                          <a:prstGeom prst="rect">
                            <a:avLst/>
                          </a:prstGeom>
                          <a:noFill/>
                          <a:ln>
                            <a:noFill/>
                          </a:ln>
                        </pic:spPr>
                      </pic:pic>
                    </a:graphicData>
                  </a:graphic>
                </wp:inline>
              </w:drawing>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b/>
                <w:bCs/>
                <w:vertAlign w:val="baseline"/>
                <w:lang w:val="en-US" w:eastAsia="zh-CN"/>
              </w:rPr>
            </w:pPr>
            <w:r>
              <w:rPr>
                <w:rFonts w:hint="eastAsia"/>
                <w:b/>
                <w:bCs/>
                <w:vertAlign w:val="baseline"/>
                <w:lang w:val="en-US" w:eastAsia="zh-CN"/>
              </w:rPr>
              <w:t>图3-2 隔油沉淀池</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bCs/>
                <w:vertAlign w:val="baseline"/>
                <w:lang w:val="en-US" w:eastAsia="zh-CN"/>
              </w:rPr>
            </w:pPr>
            <w:r>
              <w:rPr>
                <w:rFonts w:hint="eastAsia"/>
                <w:b/>
                <w:bCs/>
                <w:vertAlign w:val="baseline"/>
                <w:lang w:val="en-US" w:eastAsia="zh-CN"/>
              </w:rPr>
              <w:t>1.3 噪声及其治理措施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vertAlign w:val="baseline"/>
                <w:lang w:val="en-US" w:eastAsia="zh-CN"/>
              </w:rPr>
            </w:pPr>
            <w:r>
              <w:rPr>
                <w:rFonts w:hint="eastAsia"/>
                <w:vertAlign w:val="baseline"/>
                <w:lang w:val="en-US" w:eastAsia="zh-CN"/>
              </w:rPr>
              <w:t>项目建设完成运营期间产生的噪声源主要为搅拌机、起酥机、成型机等设备产生的机械噪声。噪声值为60</w:t>
            </w:r>
            <w:r>
              <w:rPr>
                <w:rFonts w:hint="default" w:ascii="Utsaah" w:hAnsi="Utsaah" w:cs="Utsaah"/>
                <w:vertAlign w:val="baseline"/>
                <w:lang w:val="en-US" w:eastAsia="zh-CN"/>
              </w:rPr>
              <w:t>~</w:t>
            </w:r>
            <w:r>
              <w:rPr>
                <w:rFonts w:hint="eastAsia"/>
                <w:vertAlign w:val="baseline"/>
                <w:lang w:val="en-US" w:eastAsia="zh-CN"/>
              </w:rPr>
              <w:t>9dB(A),各噪声源强见下表</w:t>
            </w:r>
          </w:p>
          <w:p>
            <w:pPr>
              <w:pStyle w:val="2"/>
              <w:numPr>
                <w:ilvl w:val="0"/>
                <w:numId w:val="0"/>
              </w:numPr>
              <w:jc w:val="center"/>
              <w:rPr>
                <w:rFonts w:hint="default"/>
                <w:b/>
                <w:bCs/>
                <w:vertAlign w:val="baseline"/>
                <w:lang w:val="en-US" w:eastAsia="zh-CN"/>
              </w:rPr>
            </w:pPr>
            <w:r>
              <w:rPr>
                <w:rFonts w:hint="eastAsia"/>
                <w:b/>
                <w:bCs/>
                <w:vertAlign w:val="baseline"/>
                <w:lang w:val="en-US" w:eastAsia="zh-CN"/>
              </w:rPr>
              <w:t>表3-3 噪声治理措施一览表dB(A)</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978"/>
              <w:gridCol w:w="1404"/>
              <w:gridCol w:w="846"/>
              <w:gridCol w:w="4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序号</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噪声源</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声级值dB(A)</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数量</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1</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搅拌机</w:t>
                  </w:r>
                </w:p>
              </w:tc>
              <w:tc>
                <w:tcPr>
                  <w:tcW w:w="1404" w:type="dxa"/>
                  <w:noWrap w:val="0"/>
                  <w:vAlign w:val="top"/>
                </w:tcPr>
                <w:p>
                  <w:pPr>
                    <w:pStyle w:val="2"/>
                    <w:numPr>
                      <w:ilvl w:val="0"/>
                      <w:numId w:val="0"/>
                    </w:numPr>
                    <w:jc w:val="both"/>
                    <w:rPr>
                      <w:rFonts w:hint="default" w:ascii="宋体" w:hAnsi="宋体" w:eastAsia="宋体" w:cs="宋体"/>
                      <w:sz w:val="21"/>
                      <w:szCs w:val="21"/>
                      <w:vertAlign w:val="baseline"/>
                      <w:lang w:val="en-US" w:eastAsia="zh-CN"/>
                    </w:rPr>
                  </w:pPr>
                  <w:r>
                    <w:rPr>
                      <w:rFonts w:hint="eastAsia" w:ascii="Utsaah" w:hAnsi="Utsaah" w:cs="Utsaah"/>
                      <w:sz w:val="21"/>
                      <w:szCs w:val="21"/>
                      <w:vertAlign w:val="baseline"/>
                      <w:lang w:val="en-US" w:eastAsia="zh-CN"/>
                    </w:rPr>
                    <w:t>60</w:t>
                  </w:r>
                  <w:r>
                    <w:rPr>
                      <w:rFonts w:hint="default" w:ascii="Utsaah" w:hAnsi="Utsaah" w:cs="Utsaah"/>
                      <w:sz w:val="21"/>
                      <w:szCs w:val="21"/>
                      <w:vertAlign w:val="baseline"/>
                      <w:lang w:val="en-US" w:eastAsia="zh-CN"/>
                    </w:rPr>
                    <w:t>~</w:t>
                  </w:r>
                  <w:r>
                    <w:rPr>
                      <w:rFonts w:hint="eastAsia" w:hAnsi="宋体" w:cs="宋体"/>
                      <w:sz w:val="21"/>
                      <w:szCs w:val="21"/>
                      <w:vertAlign w:val="baseline"/>
                      <w:lang w:val="en-US" w:eastAsia="zh-CN"/>
                    </w:rPr>
                    <w:t>80</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2</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2</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起酥机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ascii="Utsaah" w:hAnsi="Utsaah" w:cs="Utsaah"/>
                      <w:sz w:val="21"/>
                      <w:szCs w:val="21"/>
                      <w:vertAlign w:val="baseline"/>
                      <w:lang w:val="en-US" w:eastAsia="zh-CN"/>
                    </w:rPr>
                    <w:t>60</w:t>
                  </w:r>
                  <w:r>
                    <w:rPr>
                      <w:rFonts w:hint="default" w:ascii="Utsaah" w:hAnsi="Utsaah" w:cs="Utsaah"/>
                      <w:sz w:val="21"/>
                      <w:szCs w:val="21"/>
                      <w:vertAlign w:val="baseline"/>
                      <w:lang w:val="en-US" w:eastAsia="zh-CN"/>
                    </w:rPr>
                    <w:t>~</w:t>
                  </w:r>
                  <w:r>
                    <w:rPr>
                      <w:rFonts w:hint="eastAsia" w:ascii="Utsaah" w:hAnsi="Utsaah" w:cs="Utsaah"/>
                      <w:sz w:val="21"/>
                      <w:szCs w:val="21"/>
                      <w:vertAlign w:val="baseline"/>
                      <w:lang w:val="en-US" w:eastAsia="zh-CN"/>
                    </w:rPr>
                    <w:t>80</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2</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3</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成型机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65</w:t>
                  </w:r>
                  <w:r>
                    <w:rPr>
                      <w:rFonts w:hint="default" w:ascii="Utsaah" w:hAnsi="Utsaah" w:cs="Utsaah"/>
                      <w:sz w:val="21"/>
                      <w:szCs w:val="21"/>
                      <w:vertAlign w:val="baseline"/>
                      <w:lang w:val="en-US" w:eastAsia="zh-CN"/>
                    </w:rPr>
                    <w:t>~</w:t>
                  </w:r>
                  <w:r>
                    <w:rPr>
                      <w:rFonts w:hint="eastAsia" w:ascii="Utsaah" w:hAnsi="Utsaah" w:cs="Utsaah"/>
                      <w:sz w:val="21"/>
                      <w:szCs w:val="21"/>
                      <w:vertAlign w:val="baseline"/>
                      <w:lang w:val="en-US" w:eastAsia="zh-CN"/>
                    </w:rPr>
                    <w:t>70</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4</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4</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封口机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60</w:t>
                  </w:r>
                  <w:r>
                    <w:rPr>
                      <w:rFonts w:hint="default" w:ascii="Utsaah" w:hAnsi="Utsaah" w:cs="Utsaah"/>
                      <w:sz w:val="21"/>
                      <w:szCs w:val="21"/>
                      <w:vertAlign w:val="baseline"/>
                      <w:lang w:val="en-US" w:eastAsia="zh-CN"/>
                    </w:rPr>
                    <w:t>~</w:t>
                  </w:r>
                  <w:r>
                    <w:rPr>
                      <w:rFonts w:hint="eastAsia"/>
                      <w:sz w:val="21"/>
                      <w:szCs w:val="21"/>
                      <w:vertAlign w:val="baseline"/>
                      <w:lang w:val="en-US" w:eastAsia="zh-CN"/>
                    </w:rPr>
                    <w:t>75</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1</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5</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灌装机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65</w:t>
                  </w:r>
                  <w:r>
                    <w:rPr>
                      <w:rFonts w:hint="default" w:ascii="Utsaah" w:hAnsi="Utsaah" w:cs="Utsaah"/>
                      <w:sz w:val="21"/>
                      <w:szCs w:val="21"/>
                      <w:vertAlign w:val="baseline"/>
                      <w:lang w:val="en-US" w:eastAsia="zh-CN"/>
                    </w:rPr>
                    <w:t>~</w:t>
                  </w:r>
                  <w:r>
                    <w:rPr>
                      <w:rFonts w:hint="eastAsia"/>
                      <w:sz w:val="21"/>
                      <w:szCs w:val="21"/>
                      <w:vertAlign w:val="baseline"/>
                      <w:lang w:val="en-US" w:eastAsia="zh-CN"/>
                    </w:rPr>
                    <w:t>75</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1</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切面机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60-65</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1</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已采取消声、减震、隔声，安装柔性接头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7</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空压机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70</w:t>
                  </w:r>
                  <w:r>
                    <w:rPr>
                      <w:rFonts w:hint="default" w:ascii="Utsaah" w:hAnsi="Utsaah" w:cs="Utsaah"/>
                      <w:sz w:val="21"/>
                      <w:szCs w:val="21"/>
                      <w:vertAlign w:val="baseline"/>
                      <w:lang w:val="en-US" w:eastAsia="zh-CN"/>
                    </w:rPr>
                    <w:t>~</w:t>
                  </w:r>
                  <w:r>
                    <w:rPr>
                      <w:rFonts w:hint="eastAsia" w:ascii="Utsaah" w:hAnsi="Utsaah" w:cs="Utsaah"/>
                      <w:sz w:val="21"/>
                      <w:szCs w:val="21"/>
                      <w:vertAlign w:val="baseline"/>
                      <w:lang w:val="en-US" w:eastAsia="zh-CN"/>
                    </w:rPr>
                    <w:t>90</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2</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设专门的空压机房、已采取减震、隔声等措施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8</w:t>
                  </w:r>
                </w:p>
              </w:tc>
              <w:tc>
                <w:tcPr>
                  <w:tcW w:w="978"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压缩机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75</w:t>
                  </w:r>
                  <w:r>
                    <w:rPr>
                      <w:rFonts w:hint="default" w:ascii="Utsaah" w:hAnsi="Utsaah" w:cs="Utsaah"/>
                      <w:sz w:val="21"/>
                      <w:szCs w:val="21"/>
                      <w:vertAlign w:val="baseline"/>
                      <w:lang w:val="en-US" w:eastAsia="zh-CN"/>
                    </w:rPr>
                    <w:t>~</w:t>
                  </w:r>
                  <w:r>
                    <w:rPr>
                      <w:rFonts w:hint="eastAsia"/>
                      <w:sz w:val="21"/>
                      <w:szCs w:val="21"/>
                      <w:vertAlign w:val="baseline"/>
                      <w:lang w:val="en-US" w:eastAsia="zh-CN"/>
                    </w:rPr>
                    <w:t>85</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2</w:t>
                  </w:r>
                </w:p>
              </w:tc>
              <w:tc>
                <w:tcPr>
                  <w:tcW w:w="4357"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已采取减震、隔声等措施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711"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9</w:t>
                  </w:r>
                </w:p>
              </w:tc>
              <w:tc>
                <w:tcPr>
                  <w:tcW w:w="978" w:type="dxa"/>
                  <w:noWrap w:val="0"/>
                  <w:vAlign w:val="top"/>
                </w:tcPr>
                <w:p>
                  <w:pPr>
                    <w:pStyle w:val="2"/>
                    <w:numPr>
                      <w:ilvl w:val="0"/>
                      <w:numId w:val="0"/>
                    </w:numPr>
                    <w:jc w:val="both"/>
                    <w:rPr>
                      <w:rFonts w:hint="eastAsia"/>
                      <w:sz w:val="21"/>
                      <w:szCs w:val="21"/>
                      <w:vertAlign w:val="baseline"/>
                      <w:lang w:val="en-US" w:eastAsia="zh-CN"/>
                    </w:rPr>
                  </w:pPr>
                  <w:r>
                    <w:rPr>
                      <w:rFonts w:hint="eastAsia"/>
                      <w:sz w:val="21"/>
                      <w:szCs w:val="21"/>
                      <w:vertAlign w:val="baseline"/>
                      <w:lang w:val="en-US" w:eastAsia="zh-CN"/>
                    </w:rPr>
                    <w:t>切块机</w:t>
                  </w:r>
                </w:p>
              </w:tc>
              <w:tc>
                <w:tcPr>
                  <w:tcW w:w="1404"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65-50</w:t>
                  </w:r>
                </w:p>
              </w:tc>
              <w:tc>
                <w:tcPr>
                  <w:tcW w:w="846" w:type="dxa"/>
                  <w:noWrap w:val="0"/>
                  <w:vAlign w:val="top"/>
                </w:tcPr>
                <w:p>
                  <w:pPr>
                    <w:pStyle w:val="2"/>
                    <w:numPr>
                      <w:ilvl w:val="0"/>
                      <w:numId w:val="0"/>
                    </w:numPr>
                    <w:jc w:val="both"/>
                    <w:rPr>
                      <w:rFonts w:hint="default"/>
                      <w:sz w:val="21"/>
                      <w:szCs w:val="21"/>
                      <w:vertAlign w:val="baseline"/>
                      <w:lang w:val="en-US" w:eastAsia="zh-CN"/>
                    </w:rPr>
                  </w:pPr>
                  <w:r>
                    <w:rPr>
                      <w:rFonts w:hint="eastAsia"/>
                      <w:sz w:val="21"/>
                      <w:szCs w:val="21"/>
                      <w:vertAlign w:val="baseline"/>
                      <w:lang w:val="en-US" w:eastAsia="zh-CN"/>
                    </w:rPr>
                    <w:t>1</w:t>
                  </w:r>
                </w:p>
              </w:tc>
              <w:tc>
                <w:tcPr>
                  <w:tcW w:w="4357" w:type="dxa"/>
                  <w:noWrap w:val="0"/>
                  <w:vAlign w:val="top"/>
                </w:tcPr>
                <w:p>
                  <w:pPr>
                    <w:pStyle w:val="2"/>
                    <w:numPr>
                      <w:ilvl w:val="0"/>
                      <w:numId w:val="0"/>
                    </w:numPr>
                    <w:jc w:val="both"/>
                    <w:rPr>
                      <w:rFonts w:hint="eastAsia"/>
                      <w:sz w:val="21"/>
                      <w:szCs w:val="21"/>
                      <w:vertAlign w:val="baseline"/>
                      <w:lang w:val="en-US" w:eastAsia="zh-CN"/>
                    </w:rPr>
                  </w:pPr>
                  <w:r>
                    <w:rPr>
                      <w:rFonts w:hint="eastAsia"/>
                      <w:sz w:val="21"/>
                      <w:szCs w:val="21"/>
                      <w:vertAlign w:val="baseline"/>
                      <w:lang w:val="en-US" w:eastAsia="zh-CN"/>
                    </w:rPr>
                    <w:t>已采取消声、减震、隔声，安装柔性接头</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1.4 固体废物及治理措施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val="0"/>
                <w:bCs w:val="0"/>
                <w:vertAlign w:val="baseline"/>
                <w:lang w:val="en-US" w:eastAsia="zh-CN"/>
              </w:rPr>
            </w:pPr>
            <w:r>
              <w:rPr>
                <w:rFonts w:hint="eastAsia"/>
                <w:b w:val="0"/>
                <w:bCs w:val="0"/>
                <w:vertAlign w:val="baseline"/>
                <w:lang w:val="en-US" w:eastAsia="zh-CN"/>
              </w:rPr>
              <w:t>本项目产生的固体废物包括有一般工业固废、生活垃圾。</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b/>
                <w:bCs/>
                <w:vertAlign w:val="baseline"/>
                <w:lang w:val="en-US" w:eastAsia="zh-CN"/>
              </w:rPr>
            </w:pPr>
            <w:r>
              <w:rPr>
                <w:rFonts w:hint="eastAsia"/>
                <w:b/>
                <w:bCs/>
                <w:vertAlign w:val="baseline"/>
                <w:lang w:val="en-US" w:eastAsia="zh-CN"/>
              </w:rPr>
              <w:t>表3-4 固体废物处理措施一览表</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
              <w:gridCol w:w="1527"/>
              <w:gridCol w:w="731"/>
              <w:gridCol w:w="1168"/>
              <w:gridCol w:w="889"/>
              <w:gridCol w:w="879"/>
              <w:gridCol w:w="878"/>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序号</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固废名称</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废物代码</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来源</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状态</w:t>
                  </w:r>
                </w:p>
              </w:tc>
              <w:tc>
                <w:tcPr>
                  <w:tcW w:w="87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存放地点</w:t>
                  </w: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产生量（t/a）</w:t>
                  </w:r>
                </w:p>
              </w:tc>
              <w:tc>
                <w:tcPr>
                  <w:tcW w:w="1914"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处置方式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1</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不合格产品</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生产过程</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固态</w:t>
                  </w:r>
                </w:p>
              </w:tc>
              <w:tc>
                <w:tcPr>
                  <w:tcW w:w="879" w:type="dxa"/>
                  <w:vMerge w:val="restart"/>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原材料库暂存场所</w:t>
                  </w: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0.3</w:t>
                  </w:r>
                </w:p>
              </w:tc>
              <w:tc>
                <w:tcPr>
                  <w:tcW w:w="1914"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回用于生产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2</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吸尘器收集粉尘</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吸尘器</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固态</w:t>
                  </w:r>
                </w:p>
              </w:tc>
              <w:tc>
                <w:tcPr>
                  <w:tcW w:w="879" w:type="dxa"/>
                  <w:vMerge w:val="continue"/>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0.2</w:t>
                  </w:r>
                </w:p>
              </w:tc>
              <w:tc>
                <w:tcPr>
                  <w:tcW w:w="1914" w:type="dxa"/>
                  <w:vMerge w:val="restart"/>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园区环卫统一处理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3</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废料废渣（鸡蛋壳等</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打蛋等</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固态</w:t>
                  </w:r>
                </w:p>
              </w:tc>
              <w:tc>
                <w:tcPr>
                  <w:tcW w:w="879" w:type="dxa"/>
                  <w:vMerge w:val="continue"/>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2</w:t>
                  </w:r>
                </w:p>
              </w:tc>
              <w:tc>
                <w:tcPr>
                  <w:tcW w:w="1914" w:type="dxa"/>
                  <w:vMerge w:val="continue"/>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4</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废原料包装物</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包装</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固态</w:t>
                  </w:r>
                </w:p>
              </w:tc>
              <w:tc>
                <w:tcPr>
                  <w:tcW w:w="879" w:type="dxa"/>
                  <w:vMerge w:val="continue"/>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0.2</w:t>
                  </w:r>
                </w:p>
              </w:tc>
              <w:tc>
                <w:tcPr>
                  <w:tcW w:w="1914"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外售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5</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隔油沉淀池收集的废油脂</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设备清洗、设备清洗</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半固态</w:t>
                  </w:r>
                </w:p>
              </w:tc>
              <w:tc>
                <w:tcPr>
                  <w:tcW w:w="87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0.002</w:t>
                  </w:r>
                </w:p>
              </w:tc>
              <w:tc>
                <w:tcPr>
                  <w:tcW w:w="1914"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highlight w:val="none"/>
                      <w:vertAlign w:val="baseline"/>
                      <w:lang w:val="en-US" w:eastAsia="zh-CN"/>
                    </w:rPr>
                    <w:t>委托具有回收资质的单位处置：合肥美巢环保服务有限公司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0"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6</w:t>
                  </w:r>
                </w:p>
              </w:tc>
              <w:tc>
                <w:tcPr>
                  <w:tcW w:w="1527"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eastAsia"/>
                      <w:b w:val="0"/>
                      <w:bCs w:val="0"/>
                      <w:sz w:val="21"/>
                      <w:szCs w:val="21"/>
                      <w:vertAlign w:val="baseline"/>
                      <w:lang w:val="en-US" w:eastAsia="zh-CN"/>
                    </w:rPr>
                  </w:pPr>
                  <w:r>
                    <w:rPr>
                      <w:rFonts w:hint="eastAsia"/>
                      <w:b w:val="0"/>
                      <w:bCs w:val="0"/>
                      <w:sz w:val="21"/>
                      <w:szCs w:val="21"/>
                      <w:vertAlign w:val="baseline"/>
                      <w:lang w:val="en-US" w:eastAsia="zh-CN"/>
                    </w:rPr>
                    <w:t>生活垃圾</w:t>
                  </w:r>
                </w:p>
              </w:tc>
              <w:tc>
                <w:tcPr>
                  <w:tcW w:w="731"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w:t>
                  </w:r>
                </w:p>
              </w:tc>
              <w:tc>
                <w:tcPr>
                  <w:tcW w:w="116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员工生活</w:t>
                  </w:r>
                </w:p>
              </w:tc>
              <w:tc>
                <w:tcPr>
                  <w:tcW w:w="88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固态</w:t>
                  </w:r>
                </w:p>
              </w:tc>
              <w:tc>
                <w:tcPr>
                  <w:tcW w:w="879"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p>
              </w:tc>
              <w:tc>
                <w:tcPr>
                  <w:tcW w:w="878"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2.2425</w:t>
                  </w:r>
                </w:p>
              </w:tc>
              <w:tc>
                <w:tcPr>
                  <w:tcW w:w="1914" w:type="dxa"/>
                  <w:noWrap w:val="0"/>
                  <w:vAlign w:val="center"/>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jc w:val="center"/>
                    <w:textAlignment w:val="auto"/>
                    <w:rPr>
                      <w:rFonts w:hint="default"/>
                      <w:b w:val="0"/>
                      <w:bCs w:val="0"/>
                      <w:sz w:val="21"/>
                      <w:szCs w:val="21"/>
                      <w:vertAlign w:val="baseline"/>
                      <w:lang w:val="en-US" w:eastAsia="zh-CN"/>
                    </w:rPr>
                  </w:pPr>
                  <w:r>
                    <w:rPr>
                      <w:rFonts w:hint="eastAsia"/>
                      <w:b w:val="0"/>
                      <w:bCs w:val="0"/>
                      <w:sz w:val="21"/>
                      <w:szCs w:val="21"/>
                      <w:vertAlign w:val="baseline"/>
                      <w:lang w:val="en-US" w:eastAsia="zh-CN"/>
                    </w:rPr>
                    <w:t>统一收集，交由环卫部门规范处置</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1.5 环保投资及“三同时”落实情况</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ighlight w:val="none"/>
                <w:vertAlign w:val="baseline"/>
                <w:lang w:val="en-US" w:eastAsia="zh-CN"/>
              </w:rPr>
            </w:pPr>
            <w:r>
              <w:rPr>
                <w:rFonts w:hint="eastAsia"/>
                <w:vertAlign w:val="baseline"/>
                <w:lang w:val="en-US" w:eastAsia="zh-CN"/>
              </w:rPr>
              <w:t>本项目投资额为160万，其中</w:t>
            </w:r>
            <w:r>
              <w:rPr>
                <w:rFonts w:hint="eastAsia"/>
                <w:highlight w:val="none"/>
                <w:vertAlign w:val="baseline"/>
                <w:lang w:val="en-US" w:eastAsia="zh-CN"/>
              </w:rPr>
              <w:t>环保投资2万，占总投资的1.25%，具体详见下表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default"/>
                <w:b/>
                <w:bCs/>
                <w:highlight w:val="none"/>
                <w:vertAlign w:val="baseline"/>
                <w:lang w:val="en-US" w:eastAsia="zh-CN"/>
              </w:rPr>
            </w:pPr>
            <w:r>
              <w:rPr>
                <w:rFonts w:hint="eastAsia"/>
                <w:b/>
                <w:bCs/>
                <w:highlight w:val="none"/>
                <w:vertAlign w:val="baseline"/>
                <w:lang w:val="en-US" w:eastAsia="zh-CN"/>
              </w:rPr>
              <w:t>表3-5  实际环保投资一览表</w:t>
            </w:r>
          </w:p>
          <w:tbl>
            <w:tblPr>
              <w:tblStyle w:val="18"/>
              <w:tblW w:w="8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253"/>
              <w:gridCol w:w="2006"/>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项目</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工程建设内容</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数量</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投资额（万元）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废水治理设施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隔油沉淀池</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1</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tabs>
                      <w:tab w:val="left" w:pos="469"/>
                    </w:tabs>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废气治理设施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吸尘器</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1</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vMerge w:val="restart"/>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固废治理设施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边角料收集设施</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若干</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vMerge w:val="continue"/>
                  <w:noWrap w:val="0"/>
                  <w:vAlign w:val="top"/>
                </w:tcPr>
                <w:p>
                  <w:pPr>
                    <w:pStyle w:val="2"/>
                    <w:numPr>
                      <w:ilvl w:val="0"/>
                      <w:numId w:val="0"/>
                    </w:numPr>
                    <w:jc w:val="both"/>
                    <w:rPr>
                      <w:rFonts w:hint="eastAsia"/>
                      <w:sz w:val="21"/>
                      <w:szCs w:val="21"/>
                      <w:highlight w:val="none"/>
                      <w:vertAlign w:val="baseline"/>
                      <w:lang w:val="en-US" w:eastAsia="zh-CN"/>
                    </w:rPr>
                  </w:pPr>
                </w:p>
              </w:tc>
              <w:tc>
                <w:tcPr>
                  <w:tcW w:w="2253" w:type="dxa"/>
                  <w:noWrap w:val="0"/>
                  <w:vAlign w:val="top"/>
                </w:tcPr>
                <w:p>
                  <w:pPr>
                    <w:pStyle w:val="2"/>
                    <w:numPr>
                      <w:ilvl w:val="0"/>
                      <w:numId w:val="0"/>
                    </w:numPr>
                    <w:jc w:val="both"/>
                    <w:rPr>
                      <w:rFonts w:hint="eastAsia"/>
                      <w:sz w:val="21"/>
                      <w:szCs w:val="21"/>
                      <w:highlight w:val="none"/>
                      <w:vertAlign w:val="baseline"/>
                      <w:lang w:val="en-US" w:eastAsia="zh-CN"/>
                    </w:rPr>
                  </w:pPr>
                  <w:r>
                    <w:rPr>
                      <w:rFonts w:hint="eastAsia"/>
                      <w:sz w:val="21"/>
                      <w:szCs w:val="21"/>
                      <w:highlight w:val="none"/>
                      <w:vertAlign w:val="baseline"/>
                      <w:lang w:val="en-US" w:eastAsia="zh-CN"/>
                    </w:rPr>
                    <w:t>垃圾桶</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若干</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噪声治理设施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厂房隔声，基础减震等</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地下水治理设施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风险治理设施</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749"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合计（万元）</w:t>
                  </w:r>
                </w:p>
              </w:tc>
              <w:tc>
                <w:tcPr>
                  <w:tcW w:w="2253" w:type="dxa"/>
                  <w:noWrap w:val="0"/>
                  <w:vAlign w:val="top"/>
                </w:tcPr>
                <w:p>
                  <w:pPr>
                    <w:pStyle w:val="2"/>
                    <w:numPr>
                      <w:ilvl w:val="0"/>
                      <w:numId w:val="0"/>
                    </w:numPr>
                    <w:jc w:val="both"/>
                    <w:rPr>
                      <w:rFonts w:hint="default"/>
                      <w:sz w:val="21"/>
                      <w:szCs w:val="21"/>
                      <w:highlight w:val="none"/>
                      <w:vertAlign w:val="baseline"/>
                      <w:lang w:val="en-US" w:eastAsia="zh-CN"/>
                    </w:rPr>
                  </w:pPr>
                </w:p>
              </w:tc>
              <w:tc>
                <w:tcPr>
                  <w:tcW w:w="2006" w:type="dxa"/>
                  <w:noWrap w:val="0"/>
                  <w:vAlign w:val="top"/>
                </w:tcPr>
                <w:p>
                  <w:pPr>
                    <w:pStyle w:val="2"/>
                    <w:numPr>
                      <w:ilvl w:val="0"/>
                      <w:numId w:val="0"/>
                    </w:numPr>
                    <w:jc w:val="both"/>
                    <w:rPr>
                      <w:rFonts w:hint="default"/>
                      <w:sz w:val="21"/>
                      <w:szCs w:val="21"/>
                      <w:highlight w:val="none"/>
                      <w:vertAlign w:val="baseline"/>
                      <w:lang w:val="en-US" w:eastAsia="zh-CN"/>
                    </w:rPr>
                  </w:pPr>
                </w:p>
              </w:tc>
              <w:tc>
                <w:tcPr>
                  <w:tcW w:w="2350" w:type="dxa"/>
                  <w:noWrap w:val="0"/>
                  <w:vAlign w:val="top"/>
                </w:tcPr>
                <w:p>
                  <w:pPr>
                    <w:pStyle w:val="2"/>
                    <w:numPr>
                      <w:ilvl w:val="0"/>
                      <w:numId w:val="0"/>
                    </w:numPr>
                    <w:jc w:val="both"/>
                    <w:rPr>
                      <w:rFonts w:hint="default"/>
                      <w:sz w:val="21"/>
                      <w:szCs w:val="21"/>
                      <w:highlight w:val="none"/>
                      <w:vertAlign w:val="baseline"/>
                      <w:lang w:val="en-US" w:eastAsia="zh-CN"/>
                    </w:rPr>
                  </w:pPr>
                  <w:r>
                    <w:rPr>
                      <w:rFonts w:hint="eastAsia"/>
                      <w:sz w:val="21"/>
                      <w:szCs w:val="21"/>
                      <w:highlight w:val="none"/>
                      <w:vertAlign w:val="baseline"/>
                      <w:lang w:val="en-US" w:eastAsia="zh-CN"/>
                    </w:rPr>
                    <w:t>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b/>
                <w:bCs/>
                <w:vertAlign w:val="baseline"/>
                <w:lang w:val="en-US" w:eastAsia="zh-CN"/>
              </w:rPr>
            </w:pPr>
            <w:r>
              <w:rPr>
                <w:rFonts w:hint="eastAsia"/>
                <w:b/>
                <w:bCs/>
                <w:vertAlign w:val="baseline"/>
                <w:lang w:val="en-US" w:eastAsia="zh-CN"/>
              </w:rPr>
              <w:t>表3-6“三同时”落实情况表</w:t>
            </w:r>
          </w:p>
          <w:tbl>
            <w:tblPr>
              <w:tblStyle w:val="18"/>
              <w:tblW w:w="83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05"/>
              <w:gridCol w:w="688"/>
              <w:gridCol w:w="1598"/>
              <w:gridCol w:w="694"/>
              <w:gridCol w:w="3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30" w:type="dxa"/>
                  <w:vMerge w:val="restart"/>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项目名称</w:t>
                  </w:r>
                </w:p>
              </w:tc>
              <w:tc>
                <w:tcPr>
                  <w:tcW w:w="2093" w:type="dxa"/>
                  <w:gridSpan w:val="2"/>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环评设计</w:t>
                  </w:r>
                </w:p>
              </w:tc>
              <w:tc>
                <w:tcPr>
                  <w:tcW w:w="2292" w:type="dxa"/>
                  <w:gridSpan w:val="2"/>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实际建设</w:t>
                  </w:r>
                </w:p>
              </w:tc>
              <w:tc>
                <w:tcPr>
                  <w:tcW w:w="3162" w:type="dxa"/>
                  <w:vMerge w:val="restart"/>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治理效果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30" w:type="dxa"/>
                  <w:vMerge w:val="continue"/>
                  <w:noWrap w:val="0"/>
                  <w:vAlign w:val="center"/>
                </w:tcPr>
                <w:p>
                  <w:pPr>
                    <w:pStyle w:val="2"/>
                    <w:numPr>
                      <w:ilvl w:val="0"/>
                      <w:numId w:val="0"/>
                    </w:numPr>
                    <w:jc w:val="center"/>
                    <w:rPr>
                      <w:rFonts w:hint="default"/>
                      <w:sz w:val="21"/>
                      <w:szCs w:val="21"/>
                      <w:vertAlign w:val="baseline"/>
                      <w:lang w:val="en-US" w:eastAsia="zh-CN"/>
                    </w:rPr>
                  </w:pPr>
                </w:p>
              </w:tc>
              <w:tc>
                <w:tcPr>
                  <w:tcW w:w="1405"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治理措施</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数量</w:t>
                  </w:r>
                </w:p>
              </w:tc>
              <w:tc>
                <w:tcPr>
                  <w:tcW w:w="159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治理措施</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数量</w:t>
                  </w:r>
                </w:p>
              </w:tc>
              <w:tc>
                <w:tcPr>
                  <w:tcW w:w="3162" w:type="dxa"/>
                  <w:vMerge w:val="continue"/>
                  <w:noWrap w:val="0"/>
                  <w:vAlign w:val="center"/>
                </w:tcPr>
                <w:p>
                  <w:pPr>
                    <w:pStyle w:val="2"/>
                    <w:numPr>
                      <w:ilvl w:val="0"/>
                      <w:numId w:val="0"/>
                    </w:numPr>
                    <w:jc w:val="center"/>
                    <w:rPr>
                      <w:rFonts w:hint="default"/>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30" w:type="dxa"/>
                  <w:vMerge w:val="restart"/>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废水</w:t>
                  </w:r>
                </w:p>
              </w:tc>
              <w:tc>
                <w:tcPr>
                  <w:tcW w:w="1405"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隔油沉淀池</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1598" w:type="dxa"/>
                  <w:noWrap w:val="0"/>
                  <w:vAlign w:val="center"/>
                </w:tcPr>
                <w:p>
                  <w:pPr>
                    <w:pStyle w:val="2"/>
                    <w:numPr>
                      <w:ilvl w:val="0"/>
                      <w:numId w:val="0"/>
                    </w:numPr>
                    <w:ind w:left="0" w:leftChars="0" w:firstLine="0" w:firstLineChars="0"/>
                    <w:jc w:val="center"/>
                    <w:rPr>
                      <w:rFonts w:hint="default" w:ascii="宋体" w:hAnsi="Times New Roman" w:eastAsia="宋体" w:cs="宋体"/>
                      <w:color w:val="000000"/>
                      <w:kern w:val="2"/>
                      <w:sz w:val="21"/>
                      <w:szCs w:val="21"/>
                      <w:vertAlign w:val="baseline"/>
                      <w:lang w:val="en-US" w:eastAsia="zh-CN" w:bidi="ar-SA"/>
                    </w:rPr>
                  </w:pPr>
                  <w:r>
                    <w:rPr>
                      <w:rFonts w:hint="eastAsia"/>
                      <w:sz w:val="21"/>
                      <w:szCs w:val="21"/>
                      <w:vertAlign w:val="baseline"/>
                      <w:lang w:val="en-US" w:eastAsia="zh-CN"/>
                    </w:rPr>
                    <w:t>隔油沉淀池</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3162" w:type="dxa"/>
                  <w:vMerge w:val="restart"/>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满足《污水综合排放标准（GB8978-1996)三级标准,其中氨氮执行《污水排入城镇下水道水质标准（GB/T31962-2015)中B级标准限值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trPr>
              <w:tc>
                <w:tcPr>
                  <w:tcW w:w="830" w:type="dxa"/>
                  <w:vMerge w:val="continue"/>
                  <w:noWrap w:val="0"/>
                  <w:vAlign w:val="center"/>
                </w:tcPr>
                <w:p>
                  <w:pPr>
                    <w:pStyle w:val="2"/>
                    <w:numPr>
                      <w:ilvl w:val="0"/>
                      <w:numId w:val="0"/>
                    </w:numPr>
                    <w:jc w:val="center"/>
                    <w:rPr>
                      <w:rFonts w:hint="eastAsia"/>
                      <w:sz w:val="21"/>
                      <w:szCs w:val="21"/>
                      <w:vertAlign w:val="baseline"/>
                      <w:lang w:val="en-US" w:eastAsia="zh-CN"/>
                    </w:rPr>
                  </w:pPr>
                </w:p>
              </w:tc>
              <w:tc>
                <w:tcPr>
                  <w:tcW w:w="1405" w:type="dxa"/>
                  <w:noWrap w:val="0"/>
                  <w:vAlign w:val="center"/>
                </w:tcPr>
                <w:p>
                  <w:pPr>
                    <w:pStyle w:val="2"/>
                    <w:numPr>
                      <w:ilvl w:val="0"/>
                      <w:numId w:val="0"/>
                    </w:numPr>
                    <w:jc w:val="center"/>
                    <w:rPr>
                      <w:rFonts w:hint="eastAsia"/>
                      <w:sz w:val="21"/>
                      <w:szCs w:val="21"/>
                      <w:vertAlign w:val="baseline"/>
                      <w:lang w:val="en-US" w:eastAsia="zh-CN"/>
                    </w:rPr>
                  </w:pPr>
                  <w:r>
                    <w:rPr>
                      <w:rFonts w:hint="eastAsia"/>
                      <w:sz w:val="21"/>
                      <w:szCs w:val="21"/>
                      <w:vertAlign w:val="baseline"/>
                      <w:lang w:val="en-US" w:eastAsia="zh-CN"/>
                    </w:rPr>
                    <w:t>化粪池</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1598" w:type="dxa"/>
                  <w:noWrap w:val="0"/>
                  <w:vAlign w:val="center"/>
                </w:tcPr>
                <w:p>
                  <w:pPr>
                    <w:pStyle w:val="2"/>
                    <w:numPr>
                      <w:ilvl w:val="0"/>
                      <w:numId w:val="0"/>
                    </w:numPr>
                    <w:ind w:left="0" w:leftChars="0" w:firstLine="0" w:firstLineChars="0"/>
                    <w:jc w:val="center"/>
                    <w:rPr>
                      <w:rFonts w:hint="default"/>
                      <w:sz w:val="21"/>
                      <w:szCs w:val="21"/>
                      <w:vertAlign w:val="baseline"/>
                      <w:lang w:val="en-US" w:eastAsia="zh-CN"/>
                    </w:rPr>
                  </w:pPr>
                  <w:r>
                    <w:rPr>
                      <w:rFonts w:hint="eastAsia"/>
                      <w:sz w:val="21"/>
                      <w:szCs w:val="21"/>
                      <w:vertAlign w:val="baseline"/>
                      <w:lang w:val="en-US" w:eastAsia="zh-CN"/>
                    </w:rPr>
                    <w:t>化粪池（依托原有的)</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3162" w:type="dxa"/>
                  <w:vMerge w:val="continue"/>
                  <w:noWrap w:val="0"/>
                  <w:vAlign w:val="center"/>
                </w:tcPr>
                <w:p>
                  <w:pPr>
                    <w:pStyle w:val="2"/>
                    <w:numPr>
                      <w:ilvl w:val="0"/>
                      <w:numId w:val="0"/>
                    </w:numPr>
                    <w:jc w:val="center"/>
                    <w:rPr>
                      <w:rFonts w:hint="eastAsia"/>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30"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废气</w:t>
                  </w:r>
                </w:p>
              </w:tc>
              <w:tc>
                <w:tcPr>
                  <w:tcW w:w="1405"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吸尘器</w:t>
                  </w:r>
                  <w:r>
                    <w:rPr>
                      <w:rFonts w:hint="eastAsia"/>
                      <w:sz w:val="21"/>
                      <w:szCs w:val="21"/>
                      <w:highlight w:val="none"/>
                      <w:vertAlign w:val="baseline"/>
                      <w:lang w:val="en-US" w:eastAsia="zh-CN"/>
                    </w:rPr>
                    <w:t>、空气净化器</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1598" w:type="dxa"/>
                  <w:noWrap w:val="0"/>
                  <w:vAlign w:val="center"/>
                </w:tcPr>
                <w:p>
                  <w:pPr>
                    <w:pStyle w:val="2"/>
                    <w:numPr>
                      <w:ilvl w:val="0"/>
                      <w:numId w:val="0"/>
                    </w:numPr>
                    <w:ind w:left="0" w:leftChars="0" w:firstLine="0" w:firstLineChars="0"/>
                    <w:jc w:val="center"/>
                    <w:rPr>
                      <w:rFonts w:hint="default" w:ascii="宋体" w:hAnsi="Times New Roman" w:eastAsia="宋体" w:cs="宋体"/>
                      <w:color w:val="000000"/>
                      <w:kern w:val="2"/>
                      <w:sz w:val="21"/>
                      <w:szCs w:val="21"/>
                      <w:vertAlign w:val="baseline"/>
                      <w:lang w:val="en-US" w:eastAsia="zh-CN" w:bidi="ar-SA"/>
                    </w:rPr>
                  </w:pPr>
                  <w:r>
                    <w:rPr>
                      <w:rFonts w:hint="eastAsia"/>
                      <w:sz w:val="21"/>
                      <w:szCs w:val="21"/>
                      <w:vertAlign w:val="baseline"/>
                      <w:lang w:val="en-US" w:eastAsia="zh-CN"/>
                    </w:rPr>
                    <w:t>吸尘器</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1</w:t>
                  </w:r>
                </w:p>
              </w:tc>
              <w:tc>
                <w:tcPr>
                  <w:tcW w:w="3162"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满足《大气污染物综合排放标准》（GB16297-1996表2无组织排放监控浓度限值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30"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噪声</w:t>
                  </w:r>
                </w:p>
              </w:tc>
              <w:tc>
                <w:tcPr>
                  <w:tcW w:w="1405"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选用低噪设备、减震措施</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w:t>
                  </w:r>
                </w:p>
              </w:tc>
              <w:tc>
                <w:tcPr>
                  <w:tcW w:w="1598" w:type="dxa"/>
                  <w:noWrap w:val="0"/>
                  <w:vAlign w:val="center"/>
                </w:tcPr>
                <w:p>
                  <w:pPr>
                    <w:pStyle w:val="2"/>
                    <w:numPr>
                      <w:ilvl w:val="0"/>
                      <w:numId w:val="0"/>
                    </w:numPr>
                    <w:ind w:left="0" w:leftChars="0" w:firstLine="0" w:firstLineChars="0"/>
                    <w:jc w:val="center"/>
                    <w:rPr>
                      <w:rFonts w:hint="default" w:ascii="宋体" w:hAnsi="Times New Roman" w:eastAsia="宋体" w:cs="宋体"/>
                      <w:color w:val="000000"/>
                      <w:kern w:val="2"/>
                      <w:sz w:val="21"/>
                      <w:szCs w:val="21"/>
                      <w:vertAlign w:val="baseline"/>
                      <w:lang w:val="en-US" w:eastAsia="zh-CN" w:bidi="ar-SA"/>
                    </w:rPr>
                  </w:pPr>
                  <w:r>
                    <w:rPr>
                      <w:rFonts w:hint="eastAsia"/>
                      <w:sz w:val="21"/>
                      <w:szCs w:val="21"/>
                      <w:vertAlign w:val="baseline"/>
                      <w:lang w:val="en-US" w:eastAsia="zh-CN"/>
                    </w:rPr>
                    <w:t>选用低噪设备、减震措施</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w:t>
                  </w:r>
                </w:p>
              </w:tc>
              <w:tc>
                <w:tcPr>
                  <w:tcW w:w="3162"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厂界符合《工业企业厂界环境噪声排放标准》（GB12348-2008)3类标准限值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30"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固体废物</w:t>
                  </w:r>
                </w:p>
              </w:tc>
              <w:tc>
                <w:tcPr>
                  <w:tcW w:w="1405"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垃圾桶</w:t>
                  </w:r>
                </w:p>
              </w:tc>
              <w:tc>
                <w:tcPr>
                  <w:tcW w:w="688"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若干</w:t>
                  </w:r>
                </w:p>
              </w:tc>
              <w:tc>
                <w:tcPr>
                  <w:tcW w:w="1598" w:type="dxa"/>
                  <w:noWrap w:val="0"/>
                  <w:vAlign w:val="center"/>
                </w:tcPr>
                <w:p>
                  <w:pPr>
                    <w:pStyle w:val="2"/>
                    <w:numPr>
                      <w:ilvl w:val="0"/>
                      <w:numId w:val="0"/>
                    </w:numPr>
                    <w:ind w:left="0" w:leftChars="0" w:firstLine="0" w:firstLineChars="0"/>
                    <w:jc w:val="center"/>
                    <w:rPr>
                      <w:rFonts w:hint="default" w:ascii="宋体" w:hAnsi="Times New Roman" w:eastAsia="宋体" w:cs="宋体"/>
                      <w:color w:val="000000"/>
                      <w:kern w:val="2"/>
                      <w:sz w:val="21"/>
                      <w:szCs w:val="21"/>
                      <w:vertAlign w:val="baseline"/>
                      <w:lang w:val="en-US" w:eastAsia="zh-CN" w:bidi="ar-SA"/>
                    </w:rPr>
                  </w:pPr>
                  <w:r>
                    <w:rPr>
                      <w:rFonts w:hint="eastAsia"/>
                      <w:sz w:val="21"/>
                      <w:szCs w:val="21"/>
                      <w:vertAlign w:val="baseline"/>
                      <w:lang w:val="en-US" w:eastAsia="zh-CN"/>
                    </w:rPr>
                    <w:t>垃圾桶</w:t>
                  </w:r>
                </w:p>
              </w:tc>
              <w:tc>
                <w:tcPr>
                  <w:tcW w:w="694"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若干</w:t>
                  </w:r>
                </w:p>
              </w:tc>
              <w:tc>
                <w:tcPr>
                  <w:tcW w:w="3162" w:type="dxa"/>
                  <w:noWrap w:val="0"/>
                  <w:vAlign w:val="center"/>
                </w:tcPr>
                <w:p>
                  <w:pPr>
                    <w:pStyle w:val="2"/>
                    <w:numPr>
                      <w:ilvl w:val="0"/>
                      <w:numId w:val="0"/>
                    </w:numPr>
                    <w:jc w:val="center"/>
                    <w:rPr>
                      <w:rFonts w:hint="default"/>
                      <w:sz w:val="21"/>
                      <w:szCs w:val="21"/>
                      <w:vertAlign w:val="baseline"/>
                      <w:lang w:val="en-US" w:eastAsia="zh-CN"/>
                    </w:rPr>
                  </w:pPr>
                  <w:r>
                    <w:rPr>
                      <w:rFonts w:hint="eastAsia"/>
                      <w:sz w:val="21"/>
                      <w:szCs w:val="21"/>
                      <w:vertAlign w:val="baseline"/>
                      <w:lang w:val="en-US" w:eastAsia="zh-CN"/>
                    </w:rPr>
                    <w:t>无害化处置</w:t>
                  </w:r>
                </w:p>
              </w:tc>
            </w:tr>
          </w:tbl>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p>
            <w:pPr>
              <w:pStyle w:val="2"/>
              <w:numPr>
                <w:ilvl w:val="0"/>
                <w:numId w:val="0"/>
              </w:numPr>
              <w:jc w:val="both"/>
              <w:rPr>
                <w:rFonts w:hint="default"/>
                <w:vertAlign w:val="baseline"/>
                <w:lang w:val="en-US" w:eastAsia="zh-CN"/>
              </w:rPr>
            </w:pPr>
          </w:p>
        </w:tc>
      </w:tr>
    </w:tbl>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cs="Times New Roman"/>
          <w:b/>
          <w:sz w:val="28"/>
          <w:szCs w:val="28"/>
          <w:lang w:val="en-US" w:eastAsia="zh-CN"/>
        </w:rPr>
      </w:pPr>
      <w:bookmarkStart w:id="9" w:name="_Toc3519"/>
      <w:bookmarkStart w:id="10" w:name="_Toc32428"/>
      <w:bookmarkStart w:id="11" w:name="_Toc9079"/>
      <w:r>
        <w:rPr>
          <w:rFonts w:hint="eastAsia" w:cs="Times New Roman"/>
          <w:b/>
          <w:sz w:val="28"/>
          <w:szCs w:val="28"/>
          <w:lang w:val="en-US" w:eastAsia="zh-CN"/>
        </w:rPr>
        <w:t>表四  环境影响报告表主要结论及其审批部门审批决定</w:t>
      </w:r>
      <w:bookmarkEnd w:id="9"/>
      <w:bookmarkEnd w:id="10"/>
      <w:bookmarkEnd w:id="11"/>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sz w:val="24"/>
                <w:szCs w:val="24"/>
                <w:vertAlign w:val="baseline"/>
                <w:lang w:val="en-US" w:eastAsia="zh-CN"/>
              </w:rPr>
            </w:pPr>
            <w:r>
              <w:rPr>
                <w:rFonts w:hint="eastAsia"/>
                <w:b/>
                <w:bCs/>
                <w:sz w:val="24"/>
                <w:szCs w:val="24"/>
                <w:vertAlign w:val="baseline"/>
                <w:lang w:val="en-US" w:eastAsia="zh-CN"/>
              </w:rPr>
              <w:t>1、环境影响报告表主要结论及建议</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sz w:val="24"/>
                <w:szCs w:val="24"/>
                <w:vertAlign w:val="baseline"/>
                <w:lang w:val="en-US" w:eastAsia="zh-CN"/>
              </w:rPr>
            </w:pPr>
            <w:r>
              <w:rPr>
                <w:rFonts w:hint="eastAsia"/>
                <w:b/>
                <w:bCs/>
                <w:sz w:val="24"/>
                <w:szCs w:val="24"/>
                <w:vertAlign w:val="baseline"/>
                <w:lang w:val="en-US" w:eastAsia="zh-CN"/>
              </w:rPr>
              <w:t>1.1 结论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1</w:t>
            </w:r>
            <w:r>
              <w:rPr>
                <w:rFonts w:hint="eastAsia"/>
                <w:sz w:val="24"/>
                <w:szCs w:val="24"/>
                <w:vertAlign w:val="baseline"/>
                <w:lang w:val="en-US" w:eastAsia="zh-CN"/>
              </w:rPr>
              <w:t>）</w:t>
            </w:r>
            <w:r>
              <w:rPr>
                <w:rFonts w:hint="default"/>
                <w:sz w:val="24"/>
                <w:szCs w:val="24"/>
                <w:vertAlign w:val="baseline"/>
                <w:lang w:val="en-US" w:eastAsia="zh-CN"/>
              </w:rPr>
              <w:t>、项目概况</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安徽丰十味食品有限公司拟建于安徽省合肥市巢湖市居巢经济开发区安成路与前进路交叉口标准化7#厂房三层西厂房，地理坐标为经度：117°8969" 纬度31°5621"，总投资为300万元，其中环保投资为9万元。项目建筑面积809m2，生产厂房设有两个加工车间，加工车间一160m2；加工车间二120m2；配置蛋挞皮、手抓饼、蛋挞液生产线及配套的公用、环保等设施。项目建成后可形成蛋挞皮、蛋挞液、手抓饼各1条生产线 ，生产能力达3000吨/年。</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2</w:t>
            </w:r>
            <w:r>
              <w:rPr>
                <w:rFonts w:hint="eastAsia"/>
                <w:sz w:val="24"/>
                <w:szCs w:val="24"/>
                <w:vertAlign w:val="baseline"/>
                <w:lang w:val="en-US" w:eastAsia="zh-CN"/>
              </w:rPr>
              <w:t>）</w:t>
            </w:r>
            <w:r>
              <w:rPr>
                <w:rFonts w:hint="default"/>
                <w:sz w:val="24"/>
                <w:szCs w:val="24"/>
                <w:vertAlign w:val="baseline"/>
                <w:lang w:val="en-US" w:eastAsia="zh-CN"/>
              </w:rPr>
              <w:t>、项目产业政策相符性及选址合理性</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根据《国务院关于发布实施&lt;促进产业结构调整暂行规定&gt;的决定》，对照《产业结构调整指导目录（2019）》可知，该项目属于鼓励类中“十九、轻工”中的“第27小项：营养健康型大米、小麦粉（食品专用米、发芽糙米、留胚米、食品专用粉、全麦粉及营养强化产品等）及制品的开发生产”，符合国家的产业政策。对照《巢湖流域水污染防治条例》(2019年修订）本项目属于巢湖水环境三级保护区。根据条例第二十三条 水环境一、二、三级保护区内禁止下列行为：　(一)新建化学制浆造纸企业；(二)新建制革、化工、印染、电镀、酿造、水泥、石棉、玻璃等水污染严重的小型项目；(三)销售、使用含磷洗涤用品；(四)围湖造地；(五)法律、法规禁止的其他行为。严格限制在水环境三级保护区内新建制革、化工、印染、电镀、酿造、水泥、石棉、玻璃等水污染严重的大中型项目；确需新建的，应当事先报经省人民政府生态环境主管部门同意。其中，排放含氮、磷等污染物的项目，按照不低于该项目氮、磷等重点水污染物年排放总量指标，实行减量替代。本项目为食品制造业中的“糕点、面包”制造,不属于巢湖流域水污染防治条例的禁止类项目，符合《巢湖流域水污染防治条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选址位于安徽省合肥市巢湖市居巢经济开发区安成路与前进路交叉口标准化7#厂房三层西侧，厂区四周均为已建成的标准化厂房，项目周边环境较好。周边其他企业不会对本项目营运期产生明显的影响。同时，根据巢湖市国土资源局颁发的皖2016巢湖市不动产权第0502025号土地证，地类用途为工业用地，项目属于工业性质用地，因此本项目的选址合理。</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3</w:t>
            </w:r>
            <w:r>
              <w:rPr>
                <w:rFonts w:hint="eastAsia"/>
                <w:sz w:val="24"/>
                <w:szCs w:val="24"/>
                <w:vertAlign w:val="baseline"/>
                <w:lang w:val="en-US" w:eastAsia="zh-CN"/>
              </w:rPr>
              <w:t>）</w:t>
            </w:r>
            <w:r>
              <w:rPr>
                <w:rFonts w:hint="default"/>
                <w:sz w:val="24"/>
                <w:szCs w:val="24"/>
                <w:vertAlign w:val="baseline"/>
                <w:lang w:val="en-US" w:eastAsia="zh-CN"/>
              </w:rPr>
              <w:t>、环境质量现状评价结论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区域空气质量符合（GB3095-2012）《环境空气质量标准》中的二级标准；区域环境噪声值符合《声环境质量标准》（GB3096-2008）中3类标准（昼间65dB(A)、夜间55dB(A)）要求，地表水裕溪河的水质可以满足《地表水环境质量标准》（GB3838-2002）Ⅲ类水体要求。</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4</w:t>
            </w:r>
            <w:r>
              <w:rPr>
                <w:rFonts w:hint="eastAsia"/>
                <w:sz w:val="24"/>
                <w:szCs w:val="24"/>
                <w:vertAlign w:val="baseline"/>
                <w:lang w:val="en-US" w:eastAsia="zh-CN"/>
              </w:rPr>
              <w:t>）</w:t>
            </w:r>
            <w:r>
              <w:rPr>
                <w:rFonts w:hint="default"/>
                <w:sz w:val="24"/>
                <w:szCs w:val="24"/>
                <w:vertAlign w:val="baseline"/>
                <w:lang w:val="en-US" w:eastAsia="zh-CN"/>
              </w:rPr>
              <w:t>、环境影响分析以及污染防治对策</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（1）施工期环境影响分析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大气环境影响分析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施工期为简单装修，大气影响主要为装修材料运输产生的扬尘、装卸材料产生的扬尘等。防止散装物料在装卸过程中洒落引起的扬尘污染和适当的进行洒水抑尘可以减轻对环境的影响。施工单位要严格执行《合肥市大气污染防治条例》中的有关规定，尽量减少施工期带来的大气污染。</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水环境影响分析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施工阶段主要废水为施工人员生活污水，主要污染物BOD5、COD、氨氮等。依托于项目区的化粪池，生活污水经化粪池处理后纳入市政污水管网，经过城市污水管网进入巢湖市岗岭污水处理厂处理达标后排入裕溪河。</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噪声影响分析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施工期间噪声主要来自于运输车辆及装卸设备，施工单位应尽量选用低噪声的施工机械，减少同时作业的高噪施工机械数量，尽可能减轻声源叠加影响；必须严格执行《建筑施工场界环境噪声排放标准》（GB12523-2011）和合肥市有关建筑施工噪声管理的有关规定，避免施工扰民事件的发生。</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④固体废物影响分析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项目施工期固体废物主要是设备的外包装，由专门公司回收利用。装修过程中产生的废弃包装材料、油漆、涂料等属于危险废物，应集中后送有处理资质的单位进行集中处置，同时项目建设需运输各种建筑材料，工程完成后，会残留不少废建筑材料，建设单位应要求施工单位规范运输，不要随路散落，不要随意倾倒垃圾，制造新的垃圾堆。</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（2）营运期环境影响分析及污染防治对策</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①废水</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营运期生产废水经厂区自建隔油沉淀池处理，职工生活污水经化粪池预处理，统一汇集到厂区污水总排口达《污水综合排放标准》（GB8978-1996）表4中三级标准，其中氨氮达《污水排入城镇下水道水质标准》（GB/T 31962-2015)中B级标准，接入市政污水管网，进入巢湖市岗岭污水处理厂进行处理，达DB34/2710-2016中“城镇污水处理厂I”相关标准，其中未规定污染物指标执行《城镇污水处理厂污染物排放标准》一级A标准后外排至裕溪河。</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②废气</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 xml:space="preserve">本项目营运后，主要废气为面粉配料、和面过程中产生的粉尘，通过作业时轻拿轻投、减少无组织粉尘排放，配备1台工业吸尘器对车间无组织粉尘进行收集，并加强车间保洁；车间内安装空气净化系统、加强室内的通风换气，无组织颗粒物排放满足《大气污染物综合排放标准》 （GB16297-1996）表2无组织排放监控浓度限值。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③噪声</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主要噪声源为和面机、起酥机、成型机、搅拌机等设备产生的机械噪声，通过合理布局，相应的降噪、距离衰减、建筑物隔声后，本项目营运期间可以达标排放，即厂界东、西、南、北侧能达到噪声《工业企业厂界环境噪声排放标准》（GB12348-2008）3类标准，对周边环境影响较小。</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④固体废物</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eastAsia"/>
                <w:sz w:val="24"/>
                <w:szCs w:val="24"/>
                <w:vertAlign w:val="baseline"/>
                <w:lang w:val="en-US" w:eastAsia="zh-CN"/>
              </w:rPr>
              <w:t>（</w:t>
            </w:r>
            <w:r>
              <w:rPr>
                <w:rFonts w:hint="default"/>
                <w:sz w:val="24"/>
                <w:szCs w:val="24"/>
                <w:vertAlign w:val="baseline"/>
                <w:lang w:val="en-US" w:eastAsia="zh-CN"/>
              </w:rPr>
              <w:t>①</w:t>
            </w:r>
            <w:r>
              <w:rPr>
                <w:rFonts w:hint="eastAsia"/>
                <w:sz w:val="24"/>
                <w:szCs w:val="24"/>
                <w:vertAlign w:val="baseline"/>
                <w:lang w:val="en-US" w:eastAsia="zh-CN"/>
              </w:rPr>
              <w:t>）</w:t>
            </w:r>
            <w:r>
              <w:rPr>
                <w:rFonts w:hint="default"/>
                <w:sz w:val="24"/>
                <w:szCs w:val="24"/>
                <w:vertAlign w:val="baseline"/>
                <w:lang w:val="en-US" w:eastAsia="zh-CN"/>
              </w:rPr>
              <w:t>一般工业固废：吸尘器收集粉尘约0.64t/a，不合格的成型产品约0.55t/a，废料废渣（鸡蛋壳等）约4.8t/a，废原料包装物产生量约0.5t/a，隔油沉淀池收集的废油脂约0.005t/a，不合格的成型产品回用于生产，其他固废经收集后分类堆放于厂区的原材料库规范处置，其中废油脂定期委托具有回收资质的单位进行处置，对周边环境无不良影响产生。</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eastAsia"/>
                <w:sz w:val="24"/>
                <w:szCs w:val="24"/>
                <w:vertAlign w:val="baseline"/>
                <w:lang w:val="en-US" w:eastAsia="zh-CN"/>
              </w:rPr>
              <w:t>（</w:t>
            </w:r>
            <w:r>
              <w:rPr>
                <w:rFonts w:hint="default"/>
                <w:sz w:val="24"/>
                <w:szCs w:val="24"/>
                <w:vertAlign w:val="baseline"/>
                <w:lang w:val="en-US" w:eastAsia="zh-CN"/>
              </w:rPr>
              <w:t>②</w:t>
            </w:r>
            <w:r>
              <w:rPr>
                <w:rFonts w:hint="eastAsia"/>
                <w:sz w:val="24"/>
                <w:szCs w:val="24"/>
                <w:vertAlign w:val="baseline"/>
                <w:lang w:val="en-US" w:eastAsia="zh-CN"/>
              </w:rPr>
              <w:t>）</w:t>
            </w:r>
            <w:r>
              <w:rPr>
                <w:rFonts w:hint="default"/>
                <w:sz w:val="24"/>
                <w:szCs w:val="24"/>
                <w:vertAlign w:val="baseline"/>
                <w:lang w:val="en-US" w:eastAsia="zh-CN"/>
              </w:rPr>
              <w:t>生活垃圾：项目员工生活垃圾产生量为4.485t/a，垃圾桶收集后，由环卫部门统一处理，对周边环境无不良影响。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⑤土壤环境影响分析</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对照《环境影响评价技术导则 土壤环境》（试行）（HJ964-2018），本项目不属于附录A中表A.1土壤环境影响评价项目类别。因此，本项目无需开展土壤环境影响评价工作。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⑥环境风险分析结论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拟建项目在运行过程中存在着用电不慎火灾风险，必须严格按照有关规范标准的要求对用电设备及线路进行监控和管理。在认真落实工程拟采取的安全措施及评价所提出的环境风险防控和应急措施后，工程的环境风险对周围影响是可接受范围，风险可控。</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⑦运营期环境管理与监测计划</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环境管理：设施定期检修；加强环保人员的技术培训和考核；建立环境管理台账；确保环保设施正常运行和达标排放。</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环境监测：项目运营后，应建立环境监测计划。水、气监测频次1年/次。噪声监测频次1次/每季度。委托有检测资质机构的单位进行监测。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⑧环保投资</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本项目总投资额为300万元，其中环保投资为9万元，环保投资占比3%。</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⑨总量控制指标建议</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污水统一汇入厂区污水总排口，经巢湖市岗岭污水处理厂处理达标后排入裕溪河。其污染物排放总量纳入巢湖市岗岭污水处理厂的污染物排放总量中统一管理，因此本项目无需申请 COD、NH3-N 污染物排放总量控制指标。</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根据《“十三五”国家战略性新兴产业发展规划》（国发〔2016〕67号）、《安徽省环保厅关于进一步加强建设项目新增大气污染物总量指标管理工作的通知》（皖环发【2017】19 号），本项目废气污染物颗粒物为无组织排放，无需申请颗粒物总量控制指标。</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5</w:t>
            </w:r>
            <w:r>
              <w:rPr>
                <w:rFonts w:hint="eastAsia"/>
                <w:sz w:val="24"/>
                <w:szCs w:val="24"/>
                <w:vertAlign w:val="baseline"/>
                <w:lang w:val="en-US" w:eastAsia="zh-CN"/>
              </w:rPr>
              <w:t>）</w:t>
            </w:r>
            <w:r>
              <w:rPr>
                <w:rFonts w:hint="default"/>
                <w:sz w:val="24"/>
                <w:szCs w:val="24"/>
                <w:vertAlign w:val="baseline"/>
                <w:lang w:val="en-US" w:eastAsia="zh-CN"/>
              </w:rPr>
              <w:t>、评价总结论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综上所述，本项目符合国家、地方的相关产业政策，选址合理，各类污染物经本评价提出的污染防治措施治理后均可达标排放，污染防治措施可行。建设单位在严格落实环境影响报告表提出的污染防治对策和措施后，污染物达标排放，固体废物得到合理处置，项目建设对周围环境影响较小。从环保的角度分析，本项目的建设是可行的。</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sz w:val="24"/>
                <w:szCs w:val="24"/>
                <w:vertAlign w:val="baseline"/>
                <w:lang w:val="en-US" w:eastAsia="zh-CN"/>
              </w:rPr>
            </w:pPr>
            <w:r>
              <w:rPr>
                <w:rFonts w:hint="eastAsia"/>
                <w:sz w:val="24"/>
                <w:szCs w:val="24"/>
                <w:vertAlign w:val="baseline"/>
                <w:lang w:val="en-US" w:eastAsia="zh-CN"/>
              </w:rPr>
              <w:t>6）</w:t>
            </w:r>
            <w:r>
              <w:rPr>
                <w:rFonts w:hint="default"/>
                <w:sz w:val="24"/>
                <w:szCs w:val="24"/>
                <w:vertAlign w:val="baseline"/>
                <w:lang w:val="en-US" w:eastAsia="zh-CN"/>
              </w:rPr>
              <w:t>、建议</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①项目建成投产后加强生产车间现场管理，对产生的固废及时进行收集暂存，严禁在车间内乱堆乱放。</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240" w:firstLineChars="100"/>
              <w:jc w:val="both"/>
              <w:textAlignment w:val="auto"/>
              <w:rPr>
                <w:rFonts w:hint="default"/>
                <w:sz w:val="24"/>
                <w:szCs w:val="24"/>
                <w:vertAlign w:val="baseline"/>
                <w:lang w:val="en-US" w:eastAsia="zh-CN"/>
              </w:rPr>
            </w:pPr>
            <w:r>
              <w:rPr>
                <w:rFonts w:hint="default"/>
                <w:sz w:val="24"/>
                <w:szCs w:val="24"/>
                <w:vertAlign w:val="baseline"/>
                <w:lang w:val="en-US" w:eastAsia="zh-CN"/>
              </w:rPr>
              <w:t xml:space="preserve">  ②加强职工教育，提供职工环保急安全意识；制定严格的操作、管理制度，工作人员培训上岗，杜绝污染事故发生。</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sz w:val="24"/>
                <w:szCs w:val="24"/>
                <w:vertAlign w:val="baseline"/>
                <w:lang w:val="en-US" w:eastAsia="zh-CN"/>
              </w:rPr>
            </w:pPr>
            <w:r>
              <w:rPr>
                <w:rFonts w:hint="default"/>
                <w:sz w:val="24"/>
                <w:szCs w:val="24"/>
                <w:vertAlign w:val="baseline"/>
                <w:lang w:val="en-US" w:eastAsia="zh-CN"/>
              </w:rPr>
              <w:t>③加强设备管理，定期维护和保养，确保设备完好。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bCs/>
                <w:sz w:val="24"/>
                <w:szCs w:val="24"/>
                <w:vertAlign w:val="baseline"/>
                <w:lang w:val="en-US" w:eastAsia="zh-CN"/>
              </w:rPr>
            </w:pPr>
            <w:r>
              <w:rPr>
                <w:rFonts w:hint="eastAsia"/>
                <w:b/>
                <w:bCs/>
                <w:sz w:val="24"/>
                <w:szCs w:val="24"/>
                <w:vertAlign w:val="baseline"/>
                <w:lang w:val="en-US" w:eastAsia="zh-CN"/>
              </w:rPr>
              <w:t>1.2 审批部门审批决定</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sz w:val="24"/>
                <w:szCs w:val="24"/>
                <w:vertAlign w:val="baseline"/>
                <w:lang w:val="en-US" w:eastAsia="zh-CN"/>
              </w:rPr>
            </w:pPr>
            <w:r>
              <w:rPr>
                <w:rFonts w:hint="eastAsia"/>
                <w:sz w:val="24"/>
                <w:szCs w:val="24"/>
                <w:vertAlign w:val="baseline"/>
                <w:lang w:val="en-US" w:eastAsia="zh-CN"/>
              </w:rPr>
              <w:t>巢环审</w:t>
            </w:r>
            <w:r>
              <w:rPr>
                <w:rFonts w:hint="eastAsia" w:ascii="宋体" w:hAnsi="宋体" w:eastAsia="宋体" w:cs="宋体"/>
                <w:sz w:val="24"/>
                <w:szCs w:val="24"/>
                <w:vertAlign w:val="baseline"/>
                <w:lang w:val="en-US" w:eastAsia="zh-CN"/>
              </w:rPr>
              <w:t>【</w:t>
            </w:r>
            <w:r>
              <w:rPr>
                <w:rFonts w:hint="eastAsia" w:hAnsi="宋体" w:cs="宋体"/>
                <w:sz w:val="24"/>
                <w:szCs w:val="24"/>
                <w:vertAlign w:val="baseline"/>
                <w:lang w:val="en-US" w:eastAsia="zh-CN"/>
              </w:rPr>
              <w:t>2020</w:t>
            </w:r>
            <w:r>
              <w:rPr>
                <w:rFonts w:hint="eastAsia" w:ascii="宋体" w:hAnsi="宋体" w:eastAsia="宋体" w:cs="宋体"/>
                <w:sz w:val="24"/>
                <w:szCs w:val="24"/>
                <w:vertAlign w:val="baseline"/>
                <w:lang w:val="en-US" w:eastAsia="zh-CN"/>
              </w:rPr>
              <w:t>】</w:t>
            </w:r>
            <w:r>
              <w:rPr>
                <w:rFonts w:hint="eastAsia" w:hAnsi="宋体" w:cs="宋体"/>
                <w:sz w:val="24"/>
                <w:szCs w:val="24"/>
                <w:vertAlign w:val="baseline"/>
                <w:lang w:val="en-US" w:eastAsia="zh-CN"/>
              </w:rPr>
              <w:t xml:space="preserve">60号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关于安徽丰十味食品有限公司年产3000吨蛋挞半成品项目环境影响报告表批复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安徽丰十味食品有限公司：</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你公司报来的《安徽丰十味食品有限公司年产3000吨蛋挞半成品项目环境影响报告表》（以下简称《报告表》）收悉，经审查，批复如下：</w:t>
            </w:r>
          </w:p>
          <w:p>
            <w:pPr>
              <w:pStyle w:val="2"/>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该项目位于安徽省合肥市巢湖市安成路与前进路交叉口安徽居巢经开区标准化7号厂房三层西侧，租赁安徽巢湖旗裕置业管理有限公司部分闲置厂房进行建设。项目区东侧为标准化12号厂房（巢湖市陌上云仓储有限公司）、西侧为标准化2号厂房（合肥莱柏包装材料有限公司）、南侧为标准化6号厂房（安徽益消医疗科技有限公司）、北侧为标准化8号厂房（巢湖市陌上云仓储有限公司）。租赁厂房总建筑面积约809</w:t>
            </w:r>
            <w:r>
              <w:rPr>
                <w:rFonts w:hint="eastAsia" w:ascii="宋体" w:hAnsi="宋体" w:eastAsia="宋体" w:cs="宋体"/>
                <w:sz w:val="24"/>
                <w:szCs w:val="24"/>
                <w:vertAlign w:val="baseline"/>
                <w:lang w:val="en-US" w:eastAsia="zh-CN"/>
              </w:rPr>
              <w:t>㎡</w:t>
            </w:r>
            <w:r>
              <w:rPr>
                <w:rFonts w:hint="eastAsia" w:hAnsi="宋体" w:cs="宋体"/>
                <w:sz w:val="24"/>
                <w:szCs w:val="24"/>
                <w:vertAlign w:val="baseline"/>
                <w:lang w:val="en-US" w:eastAsia="zh-CN"/>
              </w:rPr>
              <w:t>，总投资300万元，其中环保投资9万元。主要建设内容：新建蛋挞皮、蛋挞液、手抓饼生产线各一条，项目建成后，可形成年产2000吨蛋挞皮、500吨蛋挞液、500吨手抓饼的生产能力。主要包括配料、和面、切面、成型、速冻、包装等工序，配套建设给排水、供电系统、办公区、员工更衣洗消区、原辅料及成品仓库相关公用及辅助设施。</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该项目的建设符合国家产业政策，巢湖市发展和改革委员会对该项目进行了网上备案（项目编码：2020-340181-14-03-018644）。在落实《报告表》提出的各项环境保护措施后，污染物可达标排放。根据《报告表》评价结论和意见，我局同意你公司按照《报告表》所列建设项目的性质、规模、内容、地点、采用的生产工艺及环境保护对策措施进行建设。</w:t>
            </w:r>
          </w:p>
          <w:p>
            <w:pPr>
              <w:pStyle w:val="2"/>
              <w:keepNext w:val="0"/>
              <w:keepLines w:val="0"/>
              <w:pageBreakBefore w:val="0"/>
              <w:widowControl w:val="0"/>
              <w:numPr>
                <w:ilvl w:val="0"/>
                <w:numId w:val="4"/>
              </w:numPr>
              <w:kinsoku/>
              <w:wordWrap/>
              <w:overflowPunct/>
              <w:topLinePunct w:val="0"/>
              <w:autoSpaceDE w:val="0"/>
              <w:autoSpaceDN w:val="0"/>
              <w:bidi w:val="0"/>
              <w:adjustRightInd w:val="0"/>
              <w:snapToGrid/>
              <w:spacing w:line="360" w:lineRule="auto"/>
              <w:ind w:left="0" w:leftChars="0"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项目建设和运营管理中应重点做好以下工作：</w:t>
            </w:r>
          </w:p>
          <w:p>
            <w:pPr>
              <w:pStyle w:val="2"/>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60" w:leftChars="0" w:firstLine="480" w:firstLineChars="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项目区排水实行雨污分流制，项目产生的设备清洗废水、车间保洁废水经项目自建的隔油沉淀池处理，生活污水经化粪池预处理后，一同排入市政污水管网，进入市岗岭污水处理厂进一步处理。废水排放执行《污水综合排放标准》（GB8978-1996)中的三级标准。</w:t>
            </w:r>
          </w:p>
          <w:p>
            <w:pPr>
              <w:pStyle w:val="2"/>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60" w:leftChars="0" w:firstLine="480" w:firstLineChars="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严格落实废气治理措施，有效控制废气无组织排放量。本项目无油炸、烘烤工艺。和面工序在投加面粉的过程中加强管理，轻拿轻放，对车间地面落尘通过1台工业吸尘器对无组织粉尘进行收集，车间内安装空气净化系统，加强室内的通风换气。颗粒物无组织排放排放执行《大气污染物综合排放标准》表2的无组织排放监控浓度限值。</w:t>
            </w:r>
          </w:p>
          <w:p>
            <w:pPr>
              <w:pStyle w:val="2"/>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60" w:leftChars="0" w:firstLine="480" w:firstLineChars="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 xml:space="preserve"> 合理布局本项目高噪声设备，选用低噪声设备，采取隔声、减震等噪声污染防治措施，确保厂界达到《工业企业厂界环境噪声排放标准》（GB12348-2008)中三类标准。</w:t>
            </w:r>
          </w:p>
          <w:p>
            <w:pPr>
              <w:pStyle w:val="2"/>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60" w:leftChars="0" w:firstLine="480" w:firstLineChars="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按照国家和地方有关要求对固体废物进行分类收集。生活垃圾交由环卫部门统一处理。不合格的成型产品回用于生产；隔油沉淀池收集的废油脂定期委托具有回收资质的单位进行处置；吸尘器收集粉尘、废料废渣（鸡蛋壳等）、废原料包装物等外售综合利用，不能利用的妥善处置。一般工业固体废物厂内临时贮存以及处理处置应满足相应标准要求，防止二次污染。</w:t>
            </w:r>
          </w:p>
          <w:p>
            <w:pPr>
              <w:pStyle w:val="2"/>
              <w:keepNext w:val="0"/>
              <w:keepLines w:val="0"/>
              <w:pageBreakBefore w:val="0"/>
              <w:widowControl w:val="0"/>
              <w:numPr>
                <w:ilvl w:val="0"/>
                <w:numId w:val="5"/>
              </w:numPr>
              <w:kinsoku/>
              <w:wordWrap/>
              <w:overflowPunct/>
              <w:topLinePunct w:val="0"/>
              <w:autoSpaceDE w:val="0"/>
              <w:autoSpaceDN w:val="0"/>
              <w:bidi w:val="0"/>
              <w:adjustRightInd w:val="0"/>
              <w:snapToGrid/>
              <w:spacing w:line="360" w:lineRule="auto"/>
              <w:ind w:left="-60" w:leftChars="0" w:firstLine="480" w:firstLineChars="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加强施工期间的环境保护管理工作，减少设备安装调试过程产生的噪声等污染。</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三、项目建设应严格执行环境保护设施与主体工程同时设计、同时施工、同时投入使用的环境保护“三同时”制度。项目建成后必须严格执行排污许可制度，在发生实际排污行为前申领排污许可证，并按照有关规定组织竣工环保验收。若项目性质、规模、地点、采用的生产工艺或者防治污染措施发生重大变化，你公司应依法重新履行相关审批手续。</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四、请市环境监察大队负责该项目日常环境监督管理工作。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 xml:space="preserve">   </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240" w:firstLineChars="100"/>
              <w:jc w:val="both"/>
              <w:textAlignment w:val="auto"/>
              <w:rPr>
                <w:rFonts w:hint="default"/>
                <w:sz w:val="24"/>
                <w:szCs w:val="24"/>
                <w:vertAlign w:val="baseline"/>
                <w:lang w:val="en-US" w:eastAsia="zh-CN"/>
              </w:rPr>
            </w:pPr>
            <w:r>
              <w:rPr>
                <w:rFonts w:hint="eastAsia" w:hAnsi="宋体" w:cs="宋体"/>
                <w:sz w:val="24"/>
                <w:szCs w:val="24"/>
                <w:vertAlign w:val="baseline"/>
                <w:lang w:val="en-US" w:eastAsia="zh-CN"/>
              </w:rPr>
              <w:t xml:space="preserve">                                                    2020年8月18日</w:t>
            </w:r>
          </w:p>
        </w:tc>
      </w:tr>
    </w:tbl>
    <w:p>
      <w:pPr>
        <w:pStyle w:val="2"/>
        <w:rPr>
          <w:rFonts w:hint="default"/>
          <w:lang w:val="en-US" w:eastAsia="zh-CN"/>
        </w:rPr>
        <w:sectPr>
          <w:footerReference r:id="rId6" w:type="default"/>
          <w:pgSz w:w="11906" w:h="16838"/>
          <w:pgMar w:top="1440" w:right="1800" w:bottom="1440" w:left="1800" w:header="851" w:footer="992" w:gutter="0"/>
          <w:pgNumType w:start="1"/>
          <w:cols w:space="720" w:num="1"/>
          <w:docGrid w:type="lines" w:linePitch="312" w:charSpace="0"/>
        </w:sectPr>
      </w:pPr>
    </w:p>
    <w:p>
      <w:pPr>
        <w:pStyle w:val="2"/>
        <w:jc w:val="center"/>
        <w:rPr>
          <w:rFonts w:hint="default"/>
          <w:b/>
          <w:bCs/>
          <w:lang w:val="en-US" w:eastAsia="zh-CN"/>
        </w:rPr>
      </w:pPr>
      <w:r>
        <w:rPr>
          <w:rFonts w:hint="eastAsia"/>
          <w:b/>
          <w:bCs/>
          <w:lang w:val="en-US" w:eastAsia="zh-CN"/>
        </w:rPr>
        <w:t>表4-1环评及批复与实际落实情况一览表</w:t>
      </w:r>
    </w:p>
    <w:p>
      <w:pPr>
        <w:pStyle w:val="2"/>
        <w:rPr>
          <w:rFonts w:hint="default"/>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4500"/>
        <w:gridCol w:w="2835"/>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69" w:type="dxa"/>
            <w:tcBorders>
              <w:tl2br w:val="single" w:color="auto" w:sz="4" w:space="0"/>
            </w:tcBorders>
            <w:noWrap w:val="0"/>
            <w:vAlign w:val="center"/>
          </w:tcPr>
          <w:p>
            <w:pPr>
              <w:ind w:firstLine="420" w:firstLineChars="200"/>
              <w:jc w:val="center"/>
              <w:rPr>
                <w:rFonts w:hint="eastAsia"/>
                <w:lang w:val="en-US" w:eastAsia="zh-CN"/>
              </w:rPr>
            </w:pPr>
            <w:r>
              <w:rPr>
                <w:rFonts w:hint="eastAsia"/>
                <w:lang w:val="en-US" w:eastAsia="zh-CN"/>
              </w:rPr>
              <w:t>项目</w:t>
            </w:r>
          </w:p>
          <w:p>
            <w:pPr>
              <w:pStyle w:val="11"/>
              <w:ind w:left="0" w:leftChars="0" w:firstLine="0" w:firstLineChars="0"/>
              <w:jc w:val="center"/>
              <w:rPr>
                <w:rFonts w:hint="default"/>
                <w:lang w:val="en-US" w:eastAsia="zh-CN"/>
              </w:rPr>
            </w:pPr>
            <w:r>
              <w:rPr>
                <w:rFonts w:hint="eastAsia"/>
                <w:vertAlign w:val="baseline"/>
                <w:lang w:val="en-US" w:eastAsia="zh-CN"/>
              </w:rPr>
              <w:t>阶段</w:t>
            </w:r>
          </w:p>
        </w:tc>
        <w:tc>
          <w:tcPr>
            <w:tcW w:w="4500" w:type="dxa"/>
            <w:noWrap w:val="0"/>
            <w:vAlign w:val="center"/>
          </w:tcPr>
          <w:p>
            <w:pPr>
              <w:jc w:val="center"/>
              <w:rPr>
                <w:rFonts w:hint="default"/>
                <w:vertAlign w:val="baseline"/>
                <w:lang w:val="en-US" w:eastAsia="zh-CN"/>
              </w:rPr>
            </w:pPr>
            <w:r>
              <w:rPr>
                <w:rFonts w:hint="eastAsia"/>
                <w:vertAlign w:val="baseline"/>
                <w:lang w:val="en-US" w:eastAsia="zh-CN"/>
              </w:rPr>
              <w:t>环境影响报告表提出的环境保护措施</w:t>
            </w:r>
          </w:p>
        </w:tc>
        <w:tc>
          <w:tcPr>
            <w:tcW w:w="2835" w:type="dxa"/>
            <w:noWrap w:val="0"/>
            <w:vAlign w:val="center"/>
          </w:tcPr>
          <w:p>
            <w:pPr>
              <w:jc w:val="center"/>
              <w:rPr>
                <w:rFonts w:hint="default"/>
                <w:vertAlign w:val="baseline"/>
                <w:lang w:val="en-US" w:eastAsia="zh-CN"/>
              </w:rPr>
            </w:pPr>
            <w:r>
              <w:rPr>
                <w:rFonts w:hint="eastAsia"/>
                <w:vertAlign w:val="baseline"/>
                <w:lang w:val="en-US" w:eastAsia="zh-CN"/>
              </w:rPr>
              <w:t>审批文件中提出的环境保护措施</w:t>
            </w:r>
          </w:p>
        </w:tc>
        <w:tc>
          <w:tcPr>
            <w:tcW w:w="2835" w:type="dxa"/>
            <w:noWrap w:val="0"/>
            <w:vAlign w:val="center"/>
          </w:tcPr>
          <w:p>
            <w:pPr>
              <w:jc w:val="center"/>
              <w:rPr>
                <w:rFonts w:hint="default"/>
                <w:vertAlign w:val="baseline"/>
                <w:lang w:val="en-US" w:eastAsia="zh-CN"/>
              </w:rPr>
            </w:pPr>
            <w:r>
              <w:rPr>
                <w:rFonts w:hint="eastAsia"/>
                <w:vertAlign w:val="baseline"/>
                <w:lang w:val="en-US" w:eastAsia="zh-CN"/>
              </w:rPr>
              <w:t>实际落实情况</w:t>
            </w:r>
          </w:p>
        </w:tc>
        <w:tc>
          <w:tcPr>
            <w:tcW w:w="2835" w:type="dxa"/>
            <w:noWrap w:val="0"/>
            <w:vAlign w:val="center"/>
          </w:tcPr>
          <w:p>
            <w:pPr>
              <w:jc w:val="center"/>
              <w:rPr>
                <w:rFonts w:hint="default"/>
                <w:vertAlign w:val="baseline"/>
                <w:lang w:val="en-US" w:eastAsia="zh-CN"/>
              </w:rPr>
            </w:pPr>
            <w:r>
              <w:rPr>
                <w:rFonts w:hint="eastAsia"/>
                <w:vertAlign w:val="baseline"/>
                <w:lang w:val="en-US" w:eastAsia="zh-CN"/>
              </w:rPr>
              <w:t>措施的执行效果及未采取措施的原因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noWrap w:val="0"/>
            <w:vAlign w:val="center"/>
          </w:tcPr>
          <w:p>
            <w:pPr>
              <w:jc w:val="center"/>
              <w:rPr>
                <w:rFonts w:hint="default"/>
                <w:vertAlign w:val="baseline"/>
                <w:lang w:val="en-US" w:eastAsia="zh-CN"/>
              </w:rPr>
            </w:pPr>
            <w:r>
              <w:rPr>
                <w:rFonts w:hint="eastAsia"/>
                <w:vertAlign w:val="baseline"/>
                <w:lang w:val="en-US" w:eastAsia="zh-CN"/>
              </w:rPr>
              <w:t>大气环境</w:t>
            </w:r>
          </w:p>
        </w:tc>
        <w:tc>
          <w:tcPr>
            <w:tcW w:w="4500" w:type="dxa"/>
            <w:noWrap w:val="0"/>
            <w:vAlign w:val="center"/>
          </w:tcPr>
          <w:p>
            <w:pPr>
              <w:jc w:val="center"/>
              <w:rPr>
                <w:rFonts w:hint="eastAsia" w:eastAsia="宋体"/>
                <w:vertAlign w:val="baseline"/>
                <w:lang w:val="en-US" w:eastAsia="zh-CN"/>
              </w:rPr>
            </w:pPr>
            <w:r>
              <w:rPr>
                <w:rFonts w:hint="eastAsia"/>
                <w:szCs w:val="24"/>
              </w:rPr>
              <w:t>面粉配料、和面过程中产生的粉尘</w:t>
            </w:r>
            <w:r>
              <w:rPr>
                <w:rFonts w:hint="eastAsia"/>
                <w:szCs w:val="24"/>
                <w:lang w:eastAsia="zh-CN"/>
              </w:rPr>
              <w:t>，</w:t>
            </w:r>
            <w:r>
              <w:rPr>
                <w:rFonts w:hint="eastAsia" w:ascii="宋体" w:hAnsi="宋体"/>
                <w:szCs w:val="24"/>
              </w:rPr>
              <w:t>轻拿轻投、减少无组织粉尘排放，通过1台工业吸尘器对无组织粉尘进行收集，并加强车间保洁；车间内安装空气净化系统、加强室内的通风换气</w:t>
            </w:r>
            <w:r>
              <w:rPr>
                <w:rFonts w:hint="eastAsia"/>
                <w:szCs w:val="24"/>
              </w:rPr>
              <w:t>。</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严格落实废气治理措施，有效控制废气无组织排放量。本项目无油炸、烘烤工艺。和面工序在投加面粉的过程中加强管理，轻拿轻放，对车间地面落尘通过1台工业吸尘器对无组织粉尘进行收集，车间内安装空气净化系统，加强室内的通风换气</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和面工序在投加面粉的过程中加强管理，轻拿轻放，对车间地面落尘通过1台工业吸尘器对无组织粉尘进行收集，加强室内的通风换气</w:t>
            </w:r>
          </w:p>
        </w:tc>
        <w:tc>
          <w:tcPr>
            <w:tcW w:w="2835" w:type="dxa"/>
            <w:noWrap w:val="0"/>
            <w:vAlign w:val="center"/>
          </w:tcPr>
          <w:p>
            <w:pPr>
              <w:jc w:val="center"/>
              <w:rPr>
                <w:rFonts w:hint="default"/>
                <w:vertAlign w:val="baseline"/>
                <w:lang w:val="en-US" w:eastAsia="zh-CN"/>
              </w:rPr>
            </w:pPr>
            <w:r>
              <w:rPr>
                <w:rFonts w:hint="eastAsia" w:hAnsi="宋体" w:cs="宋体"/>
                <w:sz w:val="24"/>
                <w:szCs w:val="24"/>
                <w:vertAlign w:val="baseline"/>
                <w:lang w:val="en-US" w:eastAsia="zh-CN"/>
              </w:rPr>
              <w:t>《大气污染物综合排放标准》表2的无组织排放监控浓度限值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noWrap w:val="0"/>
            <w:vAlign w:val="center"/>
          </w:tcPr>
          <w:p>
            <w:pPr>
              <w:jc w:val="center"/>
              <w:rPr>
                <w:rFonts w:hint="default"/>
                <w:vertAlign w:val="baseline"/>
                <w:lang w:val="en-US" w:eastAsia="zh-CN"/>
              </w:rPr>
            </w:pPr>
            <w:r>
              <w:rPr>
                <w:rFonts w:hint="eastAsia"/>
                <w:vertAlign w:val="baseline"/>
                <w:lang w:val="en-US" w:eastAsia="zh-CN"/>
              </w:rPr>
              <w:t>水环境</w:t>
            </w:r>
          </w:p>
        </w:tc>
        <w:tc>
          <w:tcPr>
            <w:tcW w:w="4500" w:type="dxa"/>
            <w:noWrap w:val="0"/>
            <w:vAlign w:val="center"/>
          </w:tcPr>
          <w:p>
            <w:pPr>
              <w:jc w:val="center"/>
              <w:rPr>
                <w:rFonts w:hint="default"/>
                <w:vertAlign w:val="baseline"/>
                <w:lang w:val="en-US" w:eastAsia="zh-CN"/>
              </w:rPr>
            </w:pPr>
            <w:r>
              <w:rPr>
                <w:rFonts w:hint="default"/>
                <w:vertAlign w:val="baseline"/>
                <w:lang w:val="en-US" w:eastAsia="zh-CN"/>
              </w:rPr>
              <w:t>项目区排水实行雨污分流制</w:t>
            </w:r>
            <w:r>
              <w:rPr>
                <w:rFonts w:hint="eastAsia"/>
                <w:vertAlign w:val="baseline"/>
                <w:lang w:val="en-US" w:eastAsia="zh-CN"/>
              </w:rPr>
              <w:t>，</w:t>
            </w:r>
            <w:r>
              <w:rPr>
                <w:rFonts w:hint="default"/>
                <w:vertAlign w:val="baseline"/>
                <w:lang w:val="en-US" w:eastAsia="zh-CN"/>
              </w:rPr>
              <w:t>新建隔油沉淀池1座、化粪池（依托现有）</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项目区排水实行雨污分流制，项目产生的设备清洗废水、车间保洁废水经项目自建的隔油沉淀池处理，生活污水经化粪池预处理后，一同排入市政污水管网，进入市岗岭污水处理厂进一步处理</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项目区排水实行雨污分流制，项目产生的设备清洗废水、车间保洁废水经项目自建的隔油沉淀池处理，生活污水经化粪池预处理后，一同排入市政污水管网，进入市岗岭污水处理厂进一步处理</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污水排放满足《污水综合排放标准》(GB8978-1996)表4中三级标准</w:t>
            </w:r>
            <w:r>
              <w:rPr>
                <w:rFonts w:hint="eastAsia"/>
                <w:vertAlign w:val="baseline"/>
                <w:lang w:val="en-US" w:eastAsia="zh-CN"/>
              </w:rPr>
              <w:t>，</w:t>
            </w:r>
            <w:r>
              <w:rPr>
                <w:rFonts w:hint="eastAsia"/>
                <w:lang w:val="en-US" w:eastAsia="zh-CN"/>
              </w:rPr>
              <w:t>其中氨氮满足《污水排入城镇下水道水质标准（GB/T31962-2015)中B级标准限值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noWrap w:val="0"/>
            <w:vAlign w:val="center"/>
          </w:tcPr>
          <w:p>
            <w:pPr>
              <w:jc w:val="center"/>
              <w:rPr>
                <w:rFonts w:hint="default"/>
                <w:lang w:val="en-US" w:eastAsia="zh-CN"/>
              </w:rPr>
            </w:pPr>
            <w:r>
              <w:rPr>
                <w:rFonts w:hint="eastAsia"/>
                <w:lang w:val="en-US" w:eastAsia="zh-CN"/>
              </w:rPr>
              <w:t>声环境</w:t>
            </w:r>
          </w:p>
        </w:tc>
        <w:tc>
          <w:tcPr>
            <w:tcW w:w="4500" w:type="dxa"/>
            <w:noWrap w:val="0"/>
            <w:vAlign w:val="center"/>
          </w:tcPr>
          <w:p>
            <w:pPr>
              <w:jc w:val="center"/>
              <w:rPr>
                <w:rFonts w:hint="default"/>
                <w:vertAlign w:val="baseline"/>
                <w:lang w:val="en-US" w:eastAsia="zh-CN"/>
              </w:rPr>
            </w:pPr>
            <w:r>
              <w:rPr>
                <w:rFonts w:cs="Times New Roman"/>
                <w:szCs w:val="24"/>
              </w:rPr>
              <w:t>厂房隔声、距离衰减</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合理布局本项目高噪声设备，选用低噪声设备，采取隔声、减震等噪声污染防治措施，确保厂界达到《工业企业厂界环境噪声排放标准》（GB12348-2008)中三类标准</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合理布局本项目高噪声设备，选用低噪声设备，采取隔声、减震等噪声污染防治措施，确保厂界达到《工业企业厂界环境噪声排放标准》（GB12348-2008)中三类标准</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厂界满足《工业企业厂界环境噪声排放标准》(GB12348-2008)中3类标准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9" w:type="dxa"/>
            <w:noWrap w:val="0"/>
            <w:vAlign w:val="center"/>
          </w:tcPr>
          <w:p>
            <w:pPr>
              <w:jc w:val="center"/>
              <w:rPr>
                <w:rFonts w:hint="eastAsia"/>
                <w:lang w:val="en-US" w:eastAsia="zh-CN"/>
              </w:rPr>
            </w:pPr>
            <w:r>
              <w:rPr>
                <w:rFonts w:hint="eastAsia"/>
                <w:lang w:val="en-US" w:eastAsia="zh-CN"/>
              </w:rPr>
              <w:t>固体废物</w:t>
            </w:r>
          </w:p>
        </w:tc>
        <w:tc>
          <w:tcPr>
            <w:tcW w:w="4500" w:type="dxa"/>
            <w:noWrap w:val="0"/>
            <w:vAlign w:val="center"/>
          </w:tcPr>
          <w:p>
            <w:pPr>
              <w:jc w:val="center"/>
              <w:rPr>
                <w:rFonts w:hint="eastAsia" w:eastAsia="宋体"/>
                <w:vertAlign w:val="baseline"/>
                <w:lang w:val="en-US" w:eastAsia="zh-CN"/>
              </w:rPr>
            </w:pPr>
            <w:r>
              <w:rPr>
                <w:rFonts w:hint="eastAsia" w:cs="Times New Roman"/>
                <w:szCs w:val="24"/>
              </w:rPr>
              <w:t>吸尘器</w:t>
            </w:r>
            <w:r>
              <w:rPr>
                <w:rFonts w:cs="Times New Roman"/>
                <w:szCs w:val="24"/>
              </w:rPr>
              <w:t>收集粉尘</w:t>
            </w:r>
            <w:r>
              <w:rPr>
                <w:rFonts w:hint="eastAsia" w:cs="Times New Roman"/>
                <w:szCs w:val="24"/>
              </w:rPr>
              <w:t>；</w:t>
            </w:r>
            <w:r>
              <w:rPr>
                <w:rFonts w:cs="Times New Roman"/>
                <w:szCs w:val="24"/>
              </w:rPr>
              <w:t>废料废渣（鸡蛋壳等）</w:t>
            </w:r>
            <w:r>
              <w:rPr>
                <w:rFonts w:hint="eastAsia" w:cs="Times New Roman"/>
                <w:szCs w:val="24"/>
              </w:rPr>
              <w:t>；</w:t>
            </w:r>
            <w:r>
              <w:rPr>
                <w:rFonts w:cs="Times New Roman"/>
                <w:szCs w:val="24"/>
              </w:rPr>
              <w:t>废原料包装</w:t>
            </w:r>
            <w:r>
              <w:rPr>
                <w:rFonts w:hint="eastAsia" w:cs="Times New Roman"/>
                <w:szCs w:val="24"/>
                <w:lang w:eastAsia="zh-CN"/>
              </w:rPr>
              <w:t>物</w:t>
            </w:r>
            <w:r>
              <w:rPr>
                <w:rFonts w:hint="eastAsia" w:cs="Times New Roman"/>
                <w:szCs w:val="24"/>
              </w:rPr>
              <w:t>；</w:t>
            </w:r>
            <w:r>
              <w:rPr>
                <w:rFonts w:cs="Times New Roman"/>
                <w:szCs w:val="24"/>
              </w:rPr>
              <w:t>隔油沉淀池收集的废油脂</w:t>
            </w:r>
            <w:r>
              <w:rPr>
                <w:rFonts w:hint="eastAsia" w:cs="Times New Roman"/>
                <w:szCs w:val="24"/>
                <w:lang w:eastAsia="zh-CN"/>
              </w:rPr>
              <w:t>，</w:t>
            </w:r>
            <w:r>
              <w:rPr>
                <w:rFonts w:cs="Times New Roman"/>
                <w:color w:val="000000"/>
                <w:szCs w:val="24"/>
              </w:rPr>
              <w:t>经</w:t>
            </w:r>
            <w:r>
              <w:rPr>
                <w:rFonts w:hint="eastAsia" w:cs="Times New Roman"/>
                <w:color w:val="000000"/>
                <w:szCs w:val="24"/>
                <w:lang w:eastAsia="zh-CN"/>
              </w:rPr>
              <w:t>分类</w:t>
            </w:r>
            <w:r>
              <w:rPr>
                <w:rFonts w:cs="Times New Roman"/>
                <w:color w:val="000000"/>
                <w:szCs w:val="24"/>
              </w:rPr>
              <w:t>收集后临时</w:t>
            </w:r>
            <w:r>
              <w:rPr>
                <w:rFonts w:hint="eastAsia" w:cs="Times New Roman"/>
                <w:color w:val="000000"/>
                <w:szCs w:val="24"/>
                <w:lang w:eastAsia="zh-CN"/>
              </w:rPr>
              <w:t>分类</w:t>
            </w:r>
            <w:r>
              <w:rPr>
                <w:rFonts w:cs="Times New Roman"/>
                <w:color w:val="000000"/>
                <w:szCs w:val="24"/>
              </w:rPr>
              <w:t>堆放于厂区原材料库</w:t>
            </w:r>
            <w:r>
              <w:rPr>
                <w:rFonts w:hint="eastAsia" w:cs="Times New Roman"/>
                <w:color w:val="000000"/>
                <w:szCs w:val="24"/>
                <w:lang w:eastAsia="zh-CN"/>
              </w:rPr>
              <w:t>暂存场所</w:t>
            </w:r>
            <w:r>
              <w:rPr>
                <w:rFonts w:hint="eastAsia" w:cs="Times New Roman"/>
                <w:color w:val="000000"/>
                <w:szCs w:val="24"/>
              </w:rPr>
              <w:t>，规范处置</w:t>
            </w:r>
            <w:r>
              <w:rPr>
                <w:rFonts w:hint="eastAsia" w:cs="Times New Roman"/>
                <w:color w:val="000000"/>
                <w:szCs w:val="24"/>
                <w:lang w:eastAsia="zh-CN"/>
              </w:rPr>
              <w:t>，</w:t>
            </w:r>
            <w:r>
              <w:rPr>
                <w:rFonts w:cs="Times New Roman"/>
                <w:color w:val="000000"/>
                <w:szCs w:val="24"/>
              </w:rPr>
              <w:t>其中废油脂定期委托具有回收资质的单位进行处置</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按照国家和地方有关要求对固体废物进行分类收集。生活垃圾交由环卫部门统一处理。不合格的成型产品回用于生产；隔油沉淀池收集的废油脂定期委托具有回收资质的单位进行处置；吸尘器收集粉尘、废料废渣（鸡蛋壳等）、废原料包装物等外售综合利用，不能利用的妥善处置。一般工业固体废物厂内临时贮存以及处理处置应满足相应标准要求，防止二次污染</w:t>
            </w:r>
          </w:p>
        </w:tc>
        <w:tc>
          <w:tcPr>
            <w:tcW w:w="2835" w:type="dxa"/>
            <w:noWrap w:val="0"/>
            <w:vAlign w:val="center"/>
          </w:tcPr>
          <w:p>
            <w:pPr>
              <w:jc w:val="center"/>
              <w:rPr>
                <w:rFonts w:hint="default"/>
                <w:vertAlign w:val="baseline"/>
                <w:lang w:val="en-US" w:eastAsia="zh-CN"/>
              </w:rPr>
            </w:pPr>
            <w:r>
              <w:rPr>
                <w:rFonts w:hint="default"/>
                <w:vertAlign w:val="baseline"/>
                <w:lang w:val="en-US" w:eastAsia="zh-CN"/>
              </w:rPr>
              <w:t>生活垃圾交由环卫部门统一处理。不合格的成型产品回用于生产；隔油沉淀池收集的废油脂定期委托具有回收资质的单位进行处置；吸尘器收集粉尘、废料废渣（鸡蛋壳等）、废原料包装物等外售综合利用</w:t>
            </w:r>
          </w:p>
        </w:tc>
        <w:tc>
          <w:tcPr>
            <w:tcW w:w="2835" w:type="dxa"/>
            <w:noWrap w:val="0"/>
            <w:vAlign w:val="center"/>
          </w:tcPr>
          <w:p>
            <w:pPr>
              <w:jc w:val="center"/>
              <w:rPr>
                <w:rFonts w:hint="default"/>
                <w:vertAlign w:val="baseline"/>
                <w:lang w:val="en-US" w:eastAsia="zh-CN"/>
              </w:rPr>
            </w:pPr>
            <w:r>
              <w:rPr>
                <w:rFonts w:hint="eastAsia"/>
                <w:vertAlign w:val="baseline"/>
                <w:lang w:val="en-US" w:eastAsia="zh-CN"/>
              </w:rPr>
              <w:t>妥善处置，不会产生二次污染</w:t>
            </w:r>
          </w:p>
        </w:tc>
      </w:tr>
    </w:tbl>
    <w:p>
      <w:pPr>
        <w:pStyle w:val="2"/>
        <w:rPr>
          <w:rFonts w:hint="default"/>
          <w:lang w:val="en-US" w:eastAsia="zh-CN"/>
        </w:rPr>
        <w:sectPr>
          <w:pgSz w:w="16838" w:h="11906" w:orient="landscape"/>
          <w:pgMar w:top="1800" w:right="1440" w:bottom="1800" w:left="1440" w:header="851" w:footer="992" w:gutter="0"/>
          <w:pgNumType w:start="1"/>
          <w:cols w:space="720" w:num="1"/>
          <w:docGrid w:type="lines" w:linePitch="312" w:charSpace="0"/>
        </w:sectPr>
      </w:pPr>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cs="Times New Roman"/>
          <w:b/>
          <w:sz w:val="28"/>
          <w:szCs w:val="28"/>
          <w:lang w:val="en-US" w:eastAsia="zh-CN"/>
        </w:rPr>
      </w:pPr>
      <w:bookmarkStart w:id="12" w:name="_Toc30561"/>
      <w:bookmarkStart w:id="13" w:name="_Toc24244"/>
      <w:bookmarkStart w:id="14" w:name="_Toc16267"/>
      <w:r>
        <w:rPr>
          <w:rFonts w:hint="eastAsia" w:cs="Times New Roman"/>
          <w:b/>
          <w:sz w:val="28"/>
          <w:szCs w:val="28"/>
          <w:lang w:val="en-US" w:eastAsia="zh-CN"/>
        </w:rPr>
        <w:t>表五  验收监测质量保证及治理控制</w:t>
      </w:r>
      <w:bookmarkEnd w:id="12"/>
      <w:bookmarkEnd w:id="13"/>
      <w:bookmarkEnd w:id="14"/>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pageBreakBefore w:val="0"/>
              <w:widowControl w:val="0"/>
              <w:numPr>
                <w:ilvl w:val="0"/>
                <w:numId w:val="6"/>
              </w:numPr>
              <w:kinsoku/>
              <w:wordWrap/>
              <w:overflowPunct/>
              <w:topLinePunct w:val="0"/>
              <w:bidi w:val="0"/>
              <w:snapToGrid/>
              <w:spacing w:line="360" w:lineRule="auto"/>
              <w:jc w:val="both"/>
              <w:textAlignment w:val="auto"/>
              <w:rPr>
                <w:rFonts w:hint="eastAsia"/>
                <w:b/>
                <w:bCs/>
                <w:vertAlign w:val="baseline"/>
                <w:lang w:val="en-US" w:eastAsia="zh-CN"/>
              </w:rPr>
            </w:pPr>
            <w:r>
              <w:rPr>
                <w:rFonts w:hint="eastAsia"/>
                <w:b/>
                <w:bCs/>
                <w:vertAlign w:val="baseline"/>
                <w:lang w:val="en-US" w:eastAsia="zh-CN"/>
              </w:rPr>
              <w:t>质量保证及质量控制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本次验收监测采样及样品分析均严格按照《环境水质监测质量保证手册》（第四版）、《环境空气监测质量保证手册》及《环境监测技术（废气、废水、噪声质控部分）》等要求进行，实施全程质量控制。具体质控要求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（1）生产达到设计生产能力的75%或达到设计指标的75%以上的稳定工况条件下进行监测，且各项污染治理设施运行正常。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（2）合理布设监测点位，保证各监测点位布设的科学性和可比性。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（3）监测分析方法采用国家颁布标准（或推荐）分析方法，监测人员经考核并持有合格证书，所有监测仪器经过计量部门检定并在有效期内。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 xml:space="preserve">（4）监测数据严格执行三级审核制度。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4"/>
                <w:szCs w:val="24"/>
                <w:vertAlign w:val="baseline"/>
                <w:lang w:val="en-US" w:eastAsia="zh-CN"/>
              </w:rPr>
            </w:pPr>
            <w:r>
              <w:rPr>
                <w:rFonts w:hint="eastAsia" w:ascii="宋体" w:hAnsi="宋体" w:cs="宋体"/>
                <w:b/>
                <w:bCs/>
                <w:sz w:val="24"/>
                <w:szCs w:val="24"/>
                <w:vertAlign w:val="baseline"/>
                <w:lang w:val="en-US" w:eastAsia="zh-CN"/>
              </w:rPr>
              <w:t>2、监测方法及来源</w:t>
            </w:r>
          </w:p>
          <w:p>
            <w:pPr>
              <w:pStyle w:val="11"/>
              <w:pageBreakBefore w:val="0"/>
              <w:widowControl w:val="0"/>
              <w:kinsoku/>
              <w:wordWrap/>
              <w:overflowPunct/>
              <w:topLinePunct w:val="0"/>
              <w:bidi w:val="0"/>
              <w:snapToGrid/>
              <w:spacing w:line="360" w:lineRule="auto"/>
              <w:ind w:left="0" w:leftChars="0" w:firstLine="0" w:firstLineChars="0"/>
              <w:jc w:val="center"/>
              <w:textAlignment w:val="auto"/>
              <w:rPr>
                <w:rFonts w:hint="eastAsia" w:ascii="宋体" w:hAnsi="宋体" w:cs="宋体"/>
                <w:b/>
                <w:bCs/>
                <w:sz w:val="24"/>
                <w:szCs w:val="24"/>
                <w:vertAlign w:val="baseline"/>
                <w:lang w:val="en-US" w:eastAsia="zh-CN"/>
              </w:rPr>
            </w:pPr>
            <w:r>
              <w:rPr>
                <w:rFonts w:hint="eastAsia" w:ascii="宋体" w:hAnsi="宋体" w:cs="宋体"/>
                <w:b/>
                <w:bCs/>
                <w:sz w:val="24"/>
                <w:szCs w:val="24"/>
                <w:vertAlign w:val="baseline"/>
                <w:lang w:val="en-US" w:eastAsia="zh-CN"/>
              </w:rPr>
              <w:t>表5-1监测分析方法一览表</w:t>
            </w:r>
          </w:p>
          <w:tbl>
            <w:tblPr>
              <w:tblStyle w:val="18"/>
              <w:tblW w:w="8386" w:type="dxa"/>
              <w:tblInd w:w="-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1169"/>
              <w:gridCol w:w="3592"/>
              <w:gridCol w:w="2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分类</w:t>
                  </w:r>
                </w:p>
              </w:tc>
              <w:tc>
                <w:tcPr>
                  <w:tcW w:w="1169" w:type="dxa"/>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监测项目</w:t>
                  </w:r>
                </w:p>
              </w:tc>
              <w:tc>
                <w:tcPr>
                  <w:tcW w:w="3592" w:type="dxa"/>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检测方法</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检出限值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废气</w:t>
                  </w:r>
                </w:p>
              </w:tc>
              <w:tc>
                <w:tcPr>
                  <w:tcW w:w="1169" w:type="dxa"/>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颗粒物</w:t>
                  </w:r>
                </w:p>
              </w:tc>
              <w:tc>
                <w:tcPr>
                  <w:tcW w:w="3592"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固定污染源排气中颗粒物测定于气态污染物采样方法GB/T16157-1996</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restart"/>
                  <w:noWrap w:val="0"/>
                  <w:vAlign w:val="center"/>
                </w:tcPr>
                <w:p>
                  <w:pPr>
                    <w:pageBreakBefore w:val="0"/>
                    <w:widowControl w:val="0"/>
                    <w:kinsoku/>
                    <w:wordWrap/>
                    <w:overflowPunct/>
                    <w:topLinePunct w:val="0"/>
                    <w:bidi w:val="0"/>
                    <w:snapToGrid/>
                    <w:spacing w:line="360" w:lineRule="auto"/>
                    <w:jc w:val="center"/>
                    <w:textAlignment w:val="auto"/>
                    <w:rPr>
                      <w:rFonts w:hint="eastAsia" w:eastAsia="宋体"/>
                      <w:sz w:val="21"/>
                      <w:szCs w:val="21"/>
                      <w:vertAlign w:val="baseline"/>
                      <w:lang w:val="en-US" w:eastAsia="zh-CN"/>
                    </w:rPr>
                  </w:pPr>
                  <w:r>
                    <w:rPr>
                      <w:rFonts w:hint="eastAsia"/>
                      <w:sz w:val="21"/>
                      <w:szCs w:val="21"/>
                      <w:vertAlign w:val="baseline"/>
                      <w:lang w:val="en-US" w:eastAsia="zh-CN"/>
                    </w:rPr>
                    <w:t>废水</w:t>
                  </w: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pH值</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水质 pH值的测定玻璃电极法 GB/T6920-1986</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COD</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水质 化学需氧量的测定 重铬酸盐法 HJ828-2017</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BOD</w:t>
                  </w:r>
                  <w:r>
                    <w:rPr>
                      <w:rFonts w:hint="default" w:ascii="Times New Roman" w:hAnsi="Times New Roman" w:cs="Times New Roman"/>
                      <w:b w:val="0"/>
                      <w:bCs w:val="0"/>
                      <w:sz w:val="21"/>
                      <w:szCs w:val="21"/>
                      <w:vertAlign w:val="subscript"/>
                      <w:lang w:val="en-US" w:eastAsia="zh-CN"/>
                    </w:rPr>
                    <w:t>5</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水质 五日生化需氧量的测定 稀释与接种法HJ505-2009</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0.5mg/L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SS</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水质 悬浮物的测定重量法 GB/T11901-1989</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NH</w:t>
                  </w:r>
                  <w:r>
                    <w:rPr>
                      <w:rFonts w:hint="default" w:ascii="Times New Roman" w:hAnsi="Times New Roman" w:cs="Times New Roman"/>
                      <w:b w:val="0"/>
                      <w:bCs w:val="0"/>
                      <w:sz w:val="21"/>
                      <w:szCs w:val="21"/>
                      <w:vertAlign w:val="subscript"/>
                      <w:lang w:val="en-US" w:eastAsia="zh-CN"/>
                    </w:rPr>
                    <w:t>3</w:t>
                  </w:r>
                  <w:r>
                    <w:rPr>
                      <w:rFonts w:hint="default" w:ascii="Times New Roman" w:hAnsi="Times New Roman" w:cs="Times New Roman"/>
                      <w:b w:val="0"/>
                      <w:bCs w:val="0"/>
                      <w:sz w:val="21"/>
                      <w:szCs w:val="21"/>
                      <w:vertAlign w:val="baseline"/>
                      <w:lang w:val="en-US" w:eastAsia="zh-CN"/>
                    </w:rPr>
                    <w:t>-N</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default" w:ascii="Times New Roman" w:hAnsi="Times New Roman" w:cs="Times New Roman"/>
                      <w:b w:val="0"/>
                      <w:bCs w:val="0"/>
                      <w:sz w:val="21"/>
                      <w:szCs w:val="21"/>
                      <w:vertAlign w:val="baseline"/>
                      <w:lang w:val="en-US" w:eastAsia="zh-CN"/>
                    </w:rPr>
                    <w:t>水质 氨氮的测定 纳氏试剂分光光度法 HJ535-2009</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0.025mg/L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Merge w:val="continue"/>
                  <w:noWrap w:val="0"/>
                  <w:vAlign w:val="center"/>
                </w:tcPr>
                <w:p>
                  <w:pPr>
                    <w:pageBreakBefore w:val="0"/>
                    <w:widowControl w:val="0"/>
                    <w:kinsoku/>
                    <w:wordWrap/>
                    <w:overflowPunct/>
                    <w:topLinePunct w:val="0"/>
                    <w:bidi w:val="0"/>
                    <w:snapToGrid/>
                    <w:spacing w:line="360" w:lineRule="auto"/>
                    <w:jc w:val="center"/>
                    <w:textAlignment w:val="auto"/>
                    <w:rPr>
                      <w:rFonts w:hint="eastAsia"/>
                      <w:sz w:val="21"/>
                      <w:szCs w:val="21"/>
                      <w:vertAlign w:val="baseline"/>
                      <w:lang w:val="en-US" w:eastAsia="zh-CN"/>
                    </w:rPr>
                  </w:pP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动植物油</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sz w:val="21"/>
                      <w:szCs w:val="21"/>
                      <w:vertAlign w:val="baseline"/>
                      <w:lang w:val="en-US" w:eastAsia="zh-CN"/>
                    </w:rPr>
                  </w:pPr>
                  <w:r>
                    <w:rPr>
                      <w:rFonts w:hint="eastAsia"/>
                      <w:sz w:val="21"/>
                      <w:szCs w:val="21"/>
                      <w:vertAlign w:val="baseline"/>
                      <w:lang w:val="en-US" w:eastAsia="zh-CN"/>
                    </w:rPr>
                    <w:t>水质 石油类和动植物油类的测定红外分光光度法 HJ637-2018</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0.06mg/L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噪声</w:t>
                  </w:r>
                </w:p>
              </w:tc>
              <w:tc>
                <w:tcPr>
                  <w:tcW w:w="11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厂界噪声</w:t>
                  </w:r>
                </w:p>
              </w:tc>
              <w:tc>
                <w:tcPr>
                  <w:tcW w:w="359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工业企业环境噪声排放标准GB12348-2008</w:t>
                  </w:r>
                </w:p>
              </w:tc>
              <w:tc>
                <w:tcPr>
                  <w:tcW w:w="2153" w:type="dxa"/>
                  <w:noWrap w:val="0"/>
                  <w:vAlign w:val="center"/>
                </w:tcPr>
                <w:p>
                  <w:pPr>
                    <w:pageBreakBefore w:val="0"/>
                    <w:widowControl w:val="0"/>
                    <w:kinsoku/>
                    <w:wordWrap/>
                    <w:overflowPunct/>
                    <w:topLinePunct w:val="0"/>
                    <w:bidi w:val="0"/>
                    <w:snapToGrid/>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w:t>
                  </w:r>
                </w:p>
              </w:tc>
            </w:tr>
          </w:tbl>
          <w:p>
            <w:pPr>
              <w:pageBreakBefore w:val="0"/>
              <w:widowControl w:val="0"/>
              <w:kinsoku/>
              <w:wordWrap/>
              <w:overflowPunct/>
              <w:topLinePunct w:val="0"/>
              <w:bidi w:val="0"/>
              <w:snapToGrid/>
              <w:spacing w:line="360" w:lineRule="auto"/>
              <w:textAlignment w:val="auto"/>
              <w:rPr>
                <w:rFonts w:hint="eastAsia"/>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p>
            <w:pPr>
              <w:pStyle w:val="2"/>
              <w:pageBreakBefore w:val="0"/>
              <w:widowControl w:val="0"/>
              <w:kinsoku/>
              <w:wordWrap/>
              <w:overflowPunct/>
              <w:topLinePunct w:val="0"/>
              <w:bidi w:val="0"/>
              <w:snapToGrid/>
              <w:spacing w:line="360" w:lineRule="auto"/>
              <w:jc w:val="both"/>
              <w:textAlignment w:val="auto"/>
              <w:rPr>
                <w:rFonts w:hint="default"/>
                <w:vertAlign w:val="baseline"/>
                <w:lang w:val="en-US" w:eastAsia="zh-CN"/>
              </w:rPr>
            </w:pPr>
          </w:p>
        </w:tc>
      </w:tr>
    </w:tbl>
    <w:p>
      <w:pPr>
        <w:pStyle w:val="2"/>
        <w:rPr>
          <w:rFonts w:hint="eastAsia"/>
          <w:b/>
          <w:bCs/>
          <w:sz w:val="28"/>
          <w:szCs w:val="28"/>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cs="Times New Roman"/>
          <w:b/>
          <w:sz w:val="28"/>
          <w:szCs w:val="28"/>
          <w:lang w:val="en-US" w:eastAsia="zh-CN"/>
        </w:rPr>
      </w:pPr>
      <w:bookmarkStart w:id="15" w:name="_Toc772"/>
      <w:bookmarkStart w:id="16" w:name="_Toc21776"/>
      <w:bookmarkStart w:id="17" w:name="_Toc8087"/>
      <w:r>
        <w:rPr>
          <w:rFonts w:hint="eastAsia" w:cs="Times New Roman"/>
          <w:b/>
          <w:sz w:val="28"/>
          <w:szCs w:val="28"/>
          <w:lang w:val="en-US" w:eastAsia="zh-CN"/>
        </w:rPr>
        <w:t>表六  验收监测内容</w:t>
      </w:r>
      <w:bookmarkEnd w:id="15"/>
      <w:bookmarkEnd w:id="16"/>
      <w:bookmarkEnd w:id="17"/>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keepNext w:val="0"/>
              <w:keepLines w:val="0"/>
              <w:pageBreakBefore w:val="0"/>
              <w:widowControl w:val="0"/>
              <w:numPr>
                <w:ilvl w:val="0"/>
                <w:numId w:val="7"/>
              </w:numPr>
              <w:kinsoku/>
              <w:wordWrap/>
              <w:overflowPunct/>
              <w:topLinePunct w:val="0"/>
              <w:autoSpaceDE w:val="0"/>
              <w:autoSpaceDN w:val="0"/>
              <w:bidi w:val="0"/>
              <w:adjustRightInd w:val="0"/>
              <w:snapToGrid/>
              <w:spacing w:line="360" w:lineRule="auto"/>
              <w:jc w:val="both"/>
              <w:textAlignment w:val="auto"/>
              <w:rPr>
                <w:rFonts w:hint="eastAsia"/>
                <w:b/>
                <w:bCs/>
                <w:sz w:val="24"/>
                <w:szCs w:val="24"/>
                <w:vertAlign w:val="baseline"/>
                <w:lang w:val="en-US" w:eastAsia="zh-CN"/>
              </w:rPr>
            </w:pPr>
            <w:r>
              <w:rPr>
                <w:rFonts w:hint="eastAsia"/>
                <w:b/>
                <w:bCs/>
                <w:sz w:val="24"/>
                <w:szCs w:val="24"/>
                <w:vertAlign w:val="baseline"/>
                <w:lang w:val="en-US" w:eastAsia="zh-CN"/>
              </w:rPr>
              <w:t>废气监测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监测内容详见下表</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rPr>
                <w:rFonts w:hint="eastAsia"/>
                <w:b/>
                <w:bCs/>
                <w:sz w:val="24"/>
                <w:szCs w:val="24"/>
                <w:vertAlign w:val="baseline"/>
                <w:lang w:val="en-US" w:eastAsia="zh-CN"/>
              </w:rPr>
            </w:pPr>
            <w:r>
              <w:rPr>
                <w:rFonts w:hint="eastAsia"/>
                <w:b/>
                <w:bCs/>
                <w:sz w:val="24"/>
                <w:szCs w:val="24"/>
                <w:vertAlign w:val="baseline"/>
                <w:lang w:val="en-US" w:eastAsia="zh-CN"/>
              </w:rPr>
              <w:t>表6-1废气监测内容</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5"/>
              <w:gridCol w:w="225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监测点位</w:t>
                  </w:r>
                </w:p>
              </w:tc>
              <w:tc>
                <w:tcPr>
                  <w:tcW w:w="225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监测项目</w:t>
                  </w:r>
                </w:p>
              </w:tc>
              <w:tc>
                <w:tcPr>
                  <w:tcW w:w="276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7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default"/>
                      <w:b w:val="0"/>
                      <w:bCs w:val="0"/>
                      <w:sz w:val="24"/>
                      <w:szCs w:val="24"/>
                      <w:vertAlign w:val="baseline"/>
                      <w:lang w:val="en-US" w:eastAsia="zh-CN"/>
                    </w:rPr>
                    <w:t>厂界上风向设一个监测点位、下风向设三个监测点位</w:t>
                  </w:r>
                </w:p>
              </w:tc>
              <w:tc>
                <w:tcPr>
                  <w:tcW w:w="2255"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颗粒物</w:t>
                  </w:r>
                </w:p>
              </w:tc>
              <w:tc>
                <w:tcPr>
                  <w:tcW w:w="2766" w:type="dxa"/>
                  <w:noWrap w:val="0"/>
                  <w:vAlign w:val="top"/>
                </w:tcPr>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rPr>
                      <w:rFonts w:hint="default"/>
                      <w:b w:val="0"/>
                      <w:bCs w:val="0"/>
                      <w:sz w:val="24"/>
                      <w:szCs w:val="24"/>
                      <w:vertAlign w:val="baseline"/>
                      <w:lang w:val="en-US" w:eastAsia="zh-CN"/>
                    </w:rPr>
                  </w:pPr>
                  <w:r>
                    <w:rPr>
                      <w:rFonts w:hint="default" w:ascii="Times New Roman" w:hAnsi="Times New Roman" w:eastAsia="宋体" w:cs="Times New Roman"/>
                      <w:sz w:val="24"/>
                      <w:szCs w:val="24"/>
                    </w:rPr>
                    <w:t>一天</w:t>
                  </w:r>
                  <w:r>
                    <w:rPr>
                      <w:rFonts w:hint="default" w:ascii="Times New Roman" w:hAnsi="Times New Roman" w:cs="Times New Roman"/>
                      <w:sz w:val="24"/>
                      <w:szCs w:val="24"/>
                      <w:lang w:val="en-US" w:eastAsia="zh-CN"/>
                    </w:rPr>
                    <w:t>3</w:t>
                  </w:r>
                  <w:r>
                    <w:rPr>
                      <w:rFonts w:hint="default" w:ascii="Times New Roman" w:hAnsi="Times New Roman" w:eastAsia="宋体" w:cs="Times New Roman"/>
                      <w:sz w:val="24"/>
                      <w:szCs w:val="24"/>
                    </w:rPr>
                    <w:t>次</w:t>
                  </w:r>
                </w:p>
              </w:tc>
            </w:tr>
          </w:tbl>
          <w:p>
            <w:pPr>
              <w:pStyle w:val="2"/>
              <w:keepNext w:val="0"/>
              <w:keepLines w:val="0"/>
              <w:pageBreakBefore w:val="0"/>
              <w:widowControl w:val="0"/>
              <w:numPr>
                <w:ilvl w:val="0"/>
                <w:numId w:val="7"/>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default"/>
                <w:b/>
                <w:bCs/>
                <w:sz w:val="24"/>
                <w:szCs w:val="24"/>
                <w:vertAlign w:val="baseline"/>
                <w:lang w:val="en-US" w:eastAsia="zh-CN"/>
              </w:rPr>
            </w:pPr>
            <w:r>
              <w:rPr>
                <w:rFonts w:hint="eastAsia"/>
                <w:b/>
                <w:bCs/>
                <w:sz w:val="24"/>
                <w:szCs w:val="24"/>
                <w:vertAlign w:val="baseline"/>
                <w:lang w:val="en-US" w:eastAsia="zh-CN"/>
              </w:rPr>
              <w:t>废水监测</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（1）监测因子：pH、COD、BOD</w:t>
            </w:r>
            <w:r>
              <w:rPr>
                <w:rFonts w:hint="default" w:ascii="Times New Roman" w:hAnsi="Times New Roman" w:cs="Times New Roman"/>
                <w:sz w:val="24"/>
                <w:szCs w:val="24"/>
                <w:vertAlign w:val="subscript"/>
                <w:lang w:val="en-US" w:eastAsia="zh-CN"/>
              </w:rPr>
              <w:t>5</w:t>
            </w:r>
            <w:r>
              <w:rPr>
                <w:rFonts w:hint="default" w:ascii="Times New Roman" w:hAnsi="Times New Roman" w:cs="Times New Roman"/>
                <w:sz w:val="24"/>
                <w:szCs w:val="24"/>
                <w:lang w:val="en-US" w:eastAsia="zh-CN"/>
              </w:rPr>
              <w:t>、SS、NH</w:t>
            </w:r>
            <w:r>
              <w:rPr>
                <w:rFonts w:hint="default" w:ascii="Times New Roman" w:hAnsi="Times New Roman" w:cs="Times New Roman"/>
                <w:sz w:val="24"/>
                <w:szCs w:val="24"/>
                <w:vertAlign w:val="subscript"/>
                <w:lang w:val="en-US" w:eastAsia="zh-CN"/>
              </w:rPr>
              <w:t>3</w:t>
            </w:r>
            <w:r>
              <w:rPr>
                <w:rFonts w:hint="default" w:ascii="Times New Roman" w:hAnsi="Times New Roman" w:cs="Times New Roman"/>
                <w:sz w:val="24"/>
                <w:szCs w:val="24"/>
                <w:lang w:val="en-US" w:eastAsia="zh-CN"/>
              </w:rPr>
              <w:t>-N、动植物油</w:t>
            </w:r>
          </w:p>
          <w:p>
            <w:pPr>
              <w:pStyle w:val="7"/>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监测点位及数量：厂区总排口设一个监测点位</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监测频次、周期：4次/天，连续监测2天</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b/>
                <w:bCs/>
                <w:sz w:val="24"/>
                <w:szCs w:val="24"/>
                <w:lang w:val="en-US" w:eastAsia="zh-CN"/>
              </w:rPr>
            </w:pPr>
            <w:r>
              <w:rPr>
                <w:rFonts w:hint="eastAsia"/>
                <w:b/>
                <w:bCs/>
                <w:sz w:val="24"/>
                <w:szCs w:val="24"/>
                <w:lang w:val="en-US" w:eastAsia="zh-CN"/>
              </w:rPr>
              <w:t>3、厂界噪声</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sz w:val="24"/>
                <w:szCs w:val="24"/>
                <w:lang w:val="en-US" w:eastAsia="zh-CN"/>
              </w:rPr>
            </w:pPr>
            <w:r>
              <w:rPr>
                <w:rFonts w:hint="eastAsia"/>
                <w:sz w:val="24"/>
                <w:szCs w:val="24"/>
                <w:lang w:val="en-US" w:eastAsia="zh-CN"/>
              </w:rPr>
              <w:t>监测期间，在厂界四周各设置1个厂界噪声监测点位，共四个监测点位，噪声监测频次为：监测2天，昼间1次</w:t>
            </w: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eastAsia"/>
                <w:b w:val="0"/>
                <w:bCs w:val="0"/>
                <w:sz w:val="24"/>
                <w:szCs w:val="24"/>
                <w:vertAlign w:val="baseline"/>
                <w:lang w:val="en-US" w:eastAsia="zh-CN"/>
              </w:rPr>
            </w:pPr>
          </w:p>
          <w:p>
            <w:pPr>
              <w:pStyle w:val="2"/>
              <w:numPr>
                <w:ilvl w:val="0"/>
                <w:numId w:val="0"/>
              </w:numPr>
              <w:jc w:val="both"/>
              <w:rPr>
                <w:rFonts w:hint="default"/>
                <w:b w:val="0"/>
                <w:bCs w:val="0"/>
                <w:sz w:val="24"/>
                <w:szCs w:val="24"/>
                <w:vertAlign w:val="baseline"/>
                <w:lang w:val="en-US" w:eastAsia="zh-CN"/>
              </w:rPr>
            </w:pPr>
          </w:p>
        </w:tc>
      </w:tr>
    </w:tbl>
    <w:p>
      <w:pPr>
        <w:pStyle w:val="2"/>
        <w:rPr>
          <w:rFonts w:hint="eastAsia"/>
          <w:b/>
          <w:bCs/>
          <w:sz w:val="28"/>
          <w:szCs w:val="28"/>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cs="Times New Roman"/>
          <w:b/>
          <w:sz w:val="28"/>
          <w:szCs w:val="28"/>
          <w:lang w:val="en-US" w:eastAsia="zh-CN"/>
        </w:rPr>
      </w:pPr>
      <w:bookmarkStart w:id="18" w:name="_Toc16562"/>
      <w:bookmarkStart w:id="19" w:name="_Toc20369"/>
      <w:bookmarkStart w:id="20" w:name="_Toc22732"/>
      <w:r>
        <w:rPr>
          <w:rFonts w:hint="eastAsia" w:cs="Times New Roman"/>
          <w:b/>
          <w:sz w:val="28"/>
          <w:szCs w:val="28"/>
          <w:lang w:val="en-US" w:eastAsia="zh-CN"/>
        </w:rPr>
        <w:t>表七  验收监测结果</w:t>
      </w:r>
      <w:bookmarkEnd w:id="18"/>
      <w:bookmarkEnd w:id="19"/>
      <w:bookmarkEnd w:id="20"/>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keepNext w:val="0"/>
              <w:keepLines w:val="0"/>
              <w:pageBreakBefore w:val="0"/>
              <w:widowControl w:val="0"/>
              <w:kinsoku/>
              <w:wordWrap/>
              <w:overflowPunct/>
              <w:topLinePunct w:val="0"/>
              <w:bidi w:val="0"/>
              <w:snapToGrid/>
              <w:spacing w:line="360" w:lineRule="auto"/>
              <w:jc w:val="both"/>
              <w:textAlignment w:val="auto"/>
              <w:rPr>
                <w:rFonts w:hint="eastAsia"/>
                <w:sz w:val="24"/>
                <w:szCs w:val="24"/>
                <w:lang w:val="en-US" w:eastAsia="zh-CN"/>
              </w:rPr>
            </w:pPr>
            <w:r>
              <w:rPr>
                <w:rFonts w:hint="eastAsia"/>
                <w:sz w:val="24"/>
                <w:szCs w:val="24"/>
                <w:lang w:val="en-US" w:eastAsia="zh-CN"/>
              </w:rPr>
              <w:t>验收监测期间生产工况处于稳定运行</w:t>
            </w:r>
          </w:p>
          <w:p>
            <w:pPr>
              <w:pStyle w:val="2"/>
              <w:keepNext w:val="0"/>
              <w:keepLines w:val="0"/>
              <w:pageBreakBefore w:val="0"/>
              <w:widowControl w:val="0"/>
              <w:numPr>
                <w:ilvl w:val="0"/>
                <w:numId w:val="9"/>
              </w:numPr>
              <w:kinsoku/>
              <w:wordWrap/>
              <w:overflowPunct/>
              <w:topLinePunct w:val="0"/>
              <w:bidi w:val="0"/>
              <w:snapToGrid/>
              <w:spacing w:line="360" w:lineRule="auto"/>
              <w:jc w:val="both"/>
              <w:textAlignment w:val="auto"/>
              <w:rPr>
                <w:rFonts w:hint="eastAsia"/>
                <w:sz w:val="24"/>
                <w:szCs w:val="24"/>
                <w:lang w:val="en-US" w:eastAsia="zh-CN"/>
              </w:rPr>
            </w:pPr>
            <w:r>
              <w:rPr>
                <w:rFonts w:hint="eastAsia"/>
                <w:sz w:val="24"/>
                <w:szCs w:val="24"/>
                <w:lang w:val="en-US" w:eastAsia="zh-CN"/>
              </w:rPr>
              <w:t>工况证明：</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b/>
                <w:bCs/>
                <w:sz w:val="24"/>
                <w:szCs w:val="24"/>
                <w:lang w:val="en-US" w:eastAsia="zh-CN"/>
              </w:rPr>
            </w:pPr>
            <w:r>
              <w:rPr>
                <w:rFonts w:hint="eastAsia"/>
                <w:b/>
                <w:bCs/>
                <w:sz w:val="24"/>
                <w:szCs w:val="24"/>
                <w:lang w:val="en-US" w:eastAsia="zh-CN"/>
              </w:rPr>
              <w:t>7-1阶段性验收工况证明一览表</w:t>
            </w:r>
          </w:p>
          <w:tbl>
            <w:tblPr>
              <w:tblStyle w:val="1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1712"/>
              <w:gridCol w:w="2740"/>
              <w:gridCol w:w="2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1817" w:type="dxa"/>
                  <w:noWrap w:val="0"/>
                  <w:vAlign w:val="top"/>
                </w:tcPr>
                <w:p>
                  <w:pPr>
                    <w:rPr>
                      <w:rFonts w:hint="default"/>
                      <w:sz w:val="21"/>
                      <w:szCs w:val="21"/>
                      <w:lang w:val="en-US" w:eastAsia="zh-CN"/>
                    </w:rPr>
                  </w:pPr>
                  <w:r>
                    <w:rPr>
                      <w:rFonts w:hint="eastAsia"/>
                      <w:sz w:val="21"/>
                      <w:szCs w:val="21"/>
                      <w:lang w:val="en-US" w:eastAsia="zh-CN"/>
                    </w:rPr>
                    <w:t>监测日期</w:t>
                  </w:r>
                </w:p>
              </w:tc>
              <w:tc>
                <w:tcPr>
                  <w:tcW w:w="1712" w:type="dxa"/>
                  <w:noWrap w:val="0"/>
                  <w:vAlign w:val="top"/>
                </w:tcPr>
                <w:p>
                  <w:pPr>
                    <w:rPr>
                      <w:rFonts w:hint="default"/>
                      <w:sz w:val="21"/>
                      <w:szCs w:val="21"/>
                      <w:lang w:val="en-US" w:eastAsia="zh-CN"/>
                    </w:rPr>
                  </w:pPr>
                  <w:r>
                    <w:rPr>
                      <w:rFonts w:hint="eastAsia"/>
                      <w:sz w:val="21"/>
                      <w:szCs w:val="21"/>
                      <w:lang w:val="en-US" w:eastAsia="zh-CN"/>
                    </w:rPr>
                    <w:t>产品名称</w:t>
                  </w:r>
                </w:p>
              </w:tc>
              <w:tc>
                <w:tcPr>
                  <w:tcW w:w="2740" w:type="dxa"/>
                  <w:noWrap w:val="0"/>
                  <w:vAlign w:val="top"/>
                </w:tcPr>
                <w:p>
                  <w:pPr>
                    <w:rPr>
                      <w:rFonts w:hint="default"/>
                      <w:sz w:val="21"/>
                      <w:szCs w:val="21"/>
                      <w:lang w:val="en-US" w:eastAsia="zh-CN"/>
                    </w:rPr>
                  </w:pPr>
                  <w:r>
                    <w:rPr>
                      <w:rFonts w:hint="eastAsia"/>
                      <w:sz w:val="21"/>
                      <w:szCs w:val="21"/>
                      <w:lang w:val="en-US" w:eastAsia="zh-CN"/>
                    </w:rPr>
                    <w:t>设计生产能力</w:t>
                  </w:r>
                </w:p>
              </w:tc>
              <w:tc>
                <w:tcPr>
                  <w:tcW w:w="2090" w:type="dxa"/>
                  <w:noWrap w:val="0"/>
                  <w:vAlign w:val="top"/>
                </w:tcPr>
                <w:p>
                  <w:pPr>
                    <w:rPr>
                      <w:rFonts w:hint="default"/>
                      <w:sz w:val="21"/>
                      <w:szCs w:val="21"/>
                      <w:lang w:val="en-US" w:eastAsia="zh-CN"/>
                    </w:rPr>
                  </w:pPr>
                  <w:r>
                    <w:rPr>
                      <w:rFonts w:hint="eastAsia"/>
                      <w:sz w:val="21"/>
                      <w:szCs w:val="21"/>
                      <w:lang w:val="en-US" w:eastAsia="zh-CN"/>
                    </w:rPr>
                    <w:t>实际生产能力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817" w:type="dxa"/>
                  <w:noWrap w:val="0"/>
                  <w:vAlign w:val="top"/>
                </w:tcPr>
                <w:p>
                  <w:pPr>
                    <w:rPr>
                      <w:rFonts w:hint="default"/>
                      <w:sz w:val="21"/>
                      <w:szCs w:val="21"/>
                      <w:lang w:val="en-US" w:eastAsia="zh-CN"/>
                    </w:rPr>
                  </w:pPr>
                  <w:r>
                    <w:rPr>
                      <w:rFonts w:hint="eastAsia"/>
                      <w:sz w:val="21"/>
                      <w:szCs w:val="21"/>
                      <w:lang w:val="en-US" w:eastAsia="zh-CN"/>
                    </w:rPr>
                    <w:t>2021.7.1-2021.7.2</w:t>
                  </w:r>
                </w:p>
              </w:tc>
              <w:tc>
                <w:tcPr>
                  <w:tcW w:w="1712" w:type="dxa"/>
                  <w:noWrap w:val="0"/>
                  <w:vAlign w:val="top"/>
                </w:tcPr>
                <w:p>
                  <w:pPr>
                    <w:rPr>
                      <w:rFonts w:hint="default"/>
                      <w:sz w:val="21"/>
                      <w:szCs w:val="21"/>
                      <w:lang w:val="en-US" w:eastAsia="zh-CN"/>
                    </w:rPr>
                  </w:pPr>
                  <w:r>
                    <w:rPr>
                      <w:rFonts w:hint="eastAsia"/>
                      <w:sz w:val="21"/>
                      <w:szCs w:val="21"/>
                      <w:lang w:val="en-US" w:eastAsia="zh-CN"/>
                    </w:rPr>
                    <w:t>蛋挞皮、蛋挞液</w:t>
                  </w:r>
                </w:p>
              </w:tc>
              <w:tc>
                <w:tcPr>
                  <w:tcW w:w="2740" w:type="dxa"/>
                  <w:noWrap w:val="0"/>
                  <w:vAlign w:val="top"/>
                </w:tcPr>
                <w:p>
                  <w:pPr>
                    <w:rPr>
                      <w:rFonts w:hint="default"/>
                      <w:sz w:val="21"/>
                      <w:szCs w:val="21"/>
                      <w:lang w:val="en-US" w:eastAsia="zh-CN"/>
                    </w:rPr>
                  </w:pPr>
                  <w:r>
                    <w:rPr>
                      <w:rFonts w:hint="eastAsia"/>
                      <w:sz w:val="21"/>
                      <w:szCs w:val="21"/>
                      <w:lang w:val="en-US" w:eastAsia="zh-CN"/>
                    </w:rPr>
                    <w:t>6.6t/天蛋挞皮、1.6t/天蛋挞液、1.6t/天吨手抓饼</w:t>
                  </w:r>
                </w:p>
              </w:tc>
              <w:tc>
                <w:tcPr>
                  <w:tcW w:w="2090" w:type="dxa"/>
                  <w:noWrap w:val="0"/>
                  <w:vAlign w:val="top"/>
                </w:tcPr>
                <w:p>
                  <w:pPr>
                    <w:rPr>
                      <w:rFonts w:hint="default"/>
                      <w:sz w:val="21"/>
                      <w:szCs w:val="21"/>
                      <w:lang w:val="en-US" w:eastAsia="zh-CN"/>
                    </w:rPr>
                  </w:pPr>
                  <w:r>
                    <w:rPr>
                      <w:rFonts w:hint="eastAsia"/>
                      <w:sz w:val="21"/>
                      <w:szCs w:val="21"/>
                      <w:lang w:val="en-US" w:eastAsia="zh-CN"/>
                    </w:rPr>
                    <w:t>5.2t/天蛋挞皮、1.3t/d吨蛋挞液</w:t>
                  </w:r>
                </w:p>
              </w:tc>
            </w:tr>
          </w:tbl>
          <w:p>
            <w:pPr>
              <w:pStyle w:val="2"/>
              <w:keepNext w:val="0"/>
              <w:keepLines w:val="0"/>
              <w:pageBreakBefore w:val="0"/>
              <w:widowControl w:val="0"/>
              <w:numPr>
                <w:ilvl w:val="0"/>
                <w:numId w:val="9"/>
              </w:numPr>
              <w:kinsoku/>
              <w:wordWrap/>
              <w:overflowPunct/>
              <w:topLinePunct w:val="0"/>
              <w:autoSpaceDE w:val="0"/>
              <w:autoSpaceDN w:val="0"/>
              <w:bidi w:val="0"/>
              <w:adjustRightInd w:val="0"/>
              <w:snapToGrid/>
              <w:spacing w:line="360" w:lineRule="auto"/>
              <w:ind w:left="0" w:leftChars="0" w:firstLine="0" w:firstLineChars="0"/>
              <w:jc w:val="both"/>
              <w:textAlignment w:val="auto"/>
              <w:rPr>
                <w:rFonts w:hint="eastAsia"/>
                <w:lang w:val="en-US" w:eastAsia="zh-CN"/>
              </w:rPr>
            </w:pPr>
            <w:r>
              <w:rPr>
                <w:rFonts w:hint="eastAsia"/>
                <w:lang w:val="en-US" w:eastAsia="zh-CN"/>
              </w:rPr>
              <w:t>验收监测结果</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80" w:firstLineChars="200"/>
              <w:jc w:val="both"/>
              <w:textAlignment w:val="auto"/>
              <w:rPr>
                <w:rFonts w:hint="eastAsia"/>
                <w:lang w:val="en-US" w:eastAsia="zh-CN"/>
              </w:rPr>
            </w:pPr>
            <w:r>
              <w:rPr>
                <w:rFonts w:hint="eastAsia"/>
                <w:lang w:val="en-US" w:eastAsia="zh-CN"/>
              </w:rPr>
              <w:t>根据安徽品格检测技术有限公司本项目环保设施处理效率及污染物达标排放监测结果如下：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jc w:val="center"/>
              <w:textAlignment w:val="auto"/>
              <w:rPr>
                <w:rFonts w:hint="eastAsia"/>
                <w:b/>
                <w:bCs/>
                <w:lang w:val="en-US" w:eastAsia="zh-CN"/>
              </w:rPr>
            </w:pPr>
            <w:r>
              <w:rPr>
                <w:rFonts w:hint="eastAsia"/>
                <w:b/>
                <w:bCs/>
                <w:lang w:val="en-US" w:eastAsia="zh-CN"/>
              </w:rPr>
              <w:t>表7-2废水监测结果一览表</w:t>
            </w:r>
          </w:p>
          <w:tbl>
            <w:tblPr>
              <w:tblStyle w:val="18"/>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7"/>
              <w:gridCol w:w="893"/>
              <w:gridCol w:w="898"/>
              <w:gridCol w:w="898"/>
              <w:gridCol w:w="898"/>
              <w:gridCol w:w="898"/>
              <w:gridCol w:w="898"/>
              <w:gridCol w:w="898"/>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pPr>
                  <w:r>
                    <w:rPr>
                      <w:rFonts w:hint="eastAsia"/>
                    </w:rPr>
                    <w:t>样品类别</w:t>
                  </w:r>
                </w:p>
              </w:tc>
              <w:tc>
                <w:tcPr>
                  <w:tcW w:w="7179" w:type="dxa"/>
                  <w:gridSpan w:val="8"/>
                  <w:noWrap w:val="0"/>
                  <w:vAlign w:val="center"/>
                </w:tcPr>
                <w:p>
                  <w:pPr>
                    <w:widowControl/>
                    <w:jc w:val="center"/>
                    <w:textAlignment w:val="center"/>
                    <w:rPr>
                      <w:rFonts w:hint="eastAsia"/>
                      <w:lang w:eastAsia="zh-CN"/>
                    </w:rPr>
                  </w:pPr>
                  <w:r>
                    <w:rPr>
                      <w:rFonts w:hint="eastAsia"/>
                      <w:lang w:eastAsia="zh-CN"/>
                    </w:rPr>
                    <w:t>废水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pPr>
                  <w:r>
                    <w:rPr>
                      <w:rFonts w:hint="eastAsia"/>
                    </w:rPr>
                    <w:t>检测点位</w:t>
                  </w:r>
                </w:p>
              </w:tc>
              <w:tc>
                <w:tcPr>
                  <w:tcW w:w="7179" w:type="dxa"/>
                  <w:gridSpan w:val="8"/>
                  <w:noWrap w:val="0"/>
                  <w:vAlign w:val="center"/>
                </w:tcPr>
                <w:p>
                  <w:pPr>
                    <w:widowControl/>
                    <w:jc w:val="center"/>
                    <w:textAlignment w:val="center"/>
                    <w:rPr>
                      <w:rFonts w:hint="eastAsia"/>
                      <w:lang w:eastAsia="zh-CN"/>
                    </w:rPr>
                  </w:pPr>
                  <w:r>
                    <w:rPr>
                      <w:rFonts w:hint="eastAsia"/>
                      <w:lang w:eastAsia="zh-CN"/>
                    </w:rPr>
                    <w:t>厂区废水总排口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pPr>
                  <w:r>
                    <w:rPr>
                      <w:rFonts w:hint="eastAsia"/>
                    </w:rPr>
                    <w:t>采样日期</w:t>
                  </w:r>
                </w:p>
              </w:tc>
              <w:tc>
                <w:tcPr>
                  <w:tcW w:w="3587" w:type="dxa"/>
                  <w:gridSpan w:val="4"/>
                  <w:noWrap w:val="0"/>
                  <w:vAlign w:val="center"/>
                </w:tcPr>
                <w:p>
                  <w:pPr>
                    <w:pStyle w:val="21"/>
                    <w:spacing w:line="240" w:lineRule="auto"/>
                    <w:ind w:firstLine="0"/>
                    <w:jc w:val="center"/>
                    <w:rPr>
                      <w:rFonts w:hint="default"/>
                      <w:lang w:val="en-US" w:eastAsia="zh-CN"/>
                    </w:rPr>
                  </w:pPr>
                  <w:r>
                    <w:rPr>
                      <w:rFonts w:hint="eastAsia"/>
                      <w:lang w:val="en-US" w:eastAsia="zh-CN"/>
                    </w:rPr>
                    <w:t>2021.7.1</w:t>
                  </w:r>
                </w:p>
              </w:tc>
              <w:tc>
                <w:tcPr>
                  <w:tcW w:w="3592" w:type="dxa"/>
                  <w:gridSpan w:val="4"/>
                  <w:noWrap w:val="0"/>
                  <w:vAlign w:val="center"/>
                </w:tcPr>
                <w:p>
                  <w:pPr>
                    <w:pStyle w:val="21"/>
                    <w:spacing w:line="240" w:lineRule="auto"/>
                    <w:ind w:firstLine="0"/>
                    <w:jc w:val="center"/>
                    <w:rPr>
                      <w:rFonts w:hint="default"/>
                      <w:lang w:val="en-US" w:eastAsia="zh-CN"/>
                    </w:rPr>
                  </w:pPr>
                  <w:r>
                    <w:rPr>
                      <w:rFonts w:hint="eastAsia"/>
                      <w:lang w:val="en-US" w:eastAsia="zh-CN"/>
                    </w:rPr>
                    <w:t>2021.7.2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pPr>
                  <w:r>
                    <w:rPr>
                      <w:rFonts w:hint="eastAsia"/>
                    </w:rPr>
                    <w:t>采样频次</w:t>
                  </w:r>
                </w:p>
              </w:tc>
              <w:tc>
                <w:tcPr>
                  <w:tcW w:w="893" w:type="dxa"/>
                  <w:noWrap w:val="0"/>
                  <w:vAlign w:val="center"/>
                </w:tcPr>
                <w:p>
                  <w:pPr>
                    <w:pStyle w:val="21"/>
                    <w:spacing w:line="240" w:lineRule="auto"/>
                    <w:ind w:firstLine="0"/>
                    <w:jc w:val="center"/>
                  </w:pPr>
                  <w:r>
                    <w:rPr>
                      <w:rFonts w:hint="eastAsia"/>
                    </w:rPr>
                    <w:t>第一次</w:t>
                  </w:r>
                </w:p>
              </w:tc>
              <w:tc>
                <w:tcPr>
                  <w:tcW w:w="898" w:type="dxa"/>
                  <w:noWrap w:val="0"/>
                  <w:vAlign w:val="center"/>
                </w:tcPr>
                <w:p>
                  <w:pPr>
                    <w:pStyle w:val="21"/>
                    <w:spacing w:line="240" w:lineRule="auto"/>
                    <w:ind w:firstLine="0"/>
                    <w:jc w:val="center"/>
                  </w:pPr>
                  <w:r>
                    <w:rPr>
                      <w:rFonts w:hint="eastAsia"/>
                    </w:rPr>
                    <w:t>第二次</w:t>
                  </w:r>
                </w:p>
              </w:tc>
              <w:tc>
                <w:tcPr>
                  <w:tcW w:w="898" w:type="dxa"/>
                  <w:noWrap w:val="0"/>
                  <w:vAlign w:val="center"/>
                </w:tcPr>
                <w:p>
                  <w:pPr>
                    <w:pStyle w:val="21"/>
                    <w:spacing w:line="240" w:lineRule="auto"/>
                    <w:ind w:firstLine="0"/>
                    <w:jc w:val="center"/>
                    <w:rPr>
                      <w:rFonts w:hint="eastAsia"/>
                      <w:lang w:eastAsia="zh-CN"/>
                    </w:rPr>
                  </w:pPr>
                  <w:r>
                    <w:rPr>
                      <w:rFonts w:hint="eastAsia"/>
                    </w:rPr>
                    <w:t>第三次</w:t>
                  </w:r>
                </w:p>
              </w:tc>
              <w:tc>
                <w:tcPr>
                  <w:tcW w:w="898" w:type="dxa"/>
                  <w:noWrap w:val="0"/>
                  <w:vAlign w:val="center"/>
                </w:tcPr>
                <w:p>
                  <w:pPr>
                    <w:pStyle w:val="21"/>
                    <w:spacing w:line="240" w:lineRule="auto"/>
                    <w:ind w:firstLine="0"/>
                    <w:jc w:val="center"/>
                    <w:rPr>
                      <w:rFonts w:hint="eastAsia"/>
                      <w:lang w:eastAsia="zh-CN"/>
                    </w:rPr>
                  </w:pPr>
                  <w:r>
                    <w:rPr>
                      <w:rFonts w:hint="eastAsia"/>
                      <w:lang w:eastAsia="zh-CN"/>
                    </w:rPr>
                    <w:t>第四次</w:t>
                  </w:r>
                </w:p>
              </w:tc>
              <w:tc>
                <w:tcPr>
                  <w:tcW w:w="898" w:type="dxa"/>
                  <w:noWrap w:val="0"/>
                  <w:vAlign w:val="center"/>
                </w:tcPr>
                <w:p>
                  <w:pPr>
                    <w:pStyle w:val="21"/>
                    <w:spacing w:line="240" w:lineRule="auto"/>
                    <w:ind w:firstLine="0"/>
                    <w:jc w:val="center"/>
                  </w:pPr>
                  <w:r>
                    <w:rPr>
                      <w:rFonts w:hint="eastAsia"/>
                    </w:rPr>
                    <w:t>第一次</w:t>
                  </w:r>
                </w:p>
              </w:tc>
              <w:tc>
                <w:tcPr>
                  <w:tcW w:w="898" w:type="dxa"/>
                  <w:noWrap w:val="0"/>
                  <w:vAlign w:val="center"/>
                </w:tcPr>
                <w:p>
                  <w:pPr>
                    <w:pStyle w:val="21"/>
                    <w:spacing w:line="240" w:lineRule="auto"/>
                    <w:ind w:firstLine="0"/>
                    <w:jc w:val="center"/>
                  </w:pPr>
                  <w:r>
                    <w:rPr>
                      <w:rFonts w:hint="eastAsia"/>
                    </w:rPr>
                    <w:t>第二次</w:t>
                  </w:r>
                </w:p>
              </w:tc>
              <w:tc>
                <w:tcPr>
                  <w:tcW w:w="898" w:type="dxa"/>
                  <w:noWrap w:val="0"/>
                  <w:vAlign w:val="center"/>
                </w:tcPr>
                <w:p>
                  <w:pPr>
                    <w:pStyle w:val="21"/>
                    <w:spacing w:line="240" w:lineRule="auto"/>
                    <w:ind w:firstLine="0"/>
                    <w:jc w:val="center"/>
                    <w:rPr>
                      <w:rFonts w:hint="eastAsia"/>
                      <w:lang w:val="en-US" w:eastAsia="zh-CN"/>
                    </w:rPr>
                  </w:pPr>
                  <w:r>
                    <w:rPr>
                      <w:rFonts w:hint="eastAsia"/>
                    </w:rPr>
                    <w:t>第三次</w:t>
                  </w:r>
                </w:p>
              </w:tc>
              <w:tc>
                <w:tcPr>
                  <w:tcW w:w="898" w:type="dxa"/>
                  <w:noWrap w:val="0"/>
                  <w:vAlign w:val="center"/>
                </w:tcPr>
                <w:p>
                  <w:pPr>
                    <w:pStyle w:val="21"/>
                    <w:spacing w:line="240" w:lineRule="auto"/>
                    <w:ind w:left="0" w:leftChars="0" w:firstLine="0" w:firstLineChars="0"/>
                    <w:jc w:val="center"/>
                    <w:rPr>
                      <w:rFonts w:hint="eastAsia"/>
                    </w:rPr>
                  </w:pPr>
                  <w:r>
                    <w:rPr>
                      <w:rFonts w:hint="eastAsia"/>
                      <w:lang w:eastAsia="zh-CN"/>
                    </w:rPr>
                    <w:t>第四次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rPr>
                      <w:sz w:val="18"/>
                      <w:szCs w:val="18"/>
                    </w:rPr>
                  </w:pPr>
                  <w:r>
                    <w:rPr>
                      <w:rFonts w:hint="eastAsia"/>
                      <w:sz w:val="18"/>
                      <w:szCs w:val="18"/>
                    </w:rPr>
                    <w:t>样品编号</w:t>
                  </w:r>
                </w:p>
              </w:tc>
              <w:tc>
                <w:tcPr>
                  <w:tcW w:w="893" w:type="dxa"/>
                  <w:noWrap w:val="0"/>
                  <w:vAlign w:val="center"/>
                </w:tcPr>
                <w:p>
                  <w:pPr>
                    <w:pStyle w:val="21"/>
                    <w:spacing w:line="240" w:lineRule="auto"/>
                    <w:ind w:firstLine="0"/>
                    <w:jc w:val="center"/>
                    <w:rPr>
                      <w:sz w:val="18"/>
                      <w:szCs w:val="18"/>
                    </w:rPr>
                  </w:pPr>
                  <w:r>
                    <w:rPr>
                      <w:rFonts w:hint="eastAsia"/>
                      <w:sz w:val="18"/>
                      <w:szCs w:val="18"/>
                    </w:rPr>
                    <w:t>FS-1-1-1</w:t>
                  </w:r>
                </w:p>
              </w:tc>
              <w:tc>
                <w:tcPr>
                  <w:tcW w:w="898" w:type="dxa"/>
                  <w:noWrap w:val="0"/>
                  <w:vAlign w:val="center"/>
                </w:tcPr>
                <w:p>
                  <w:pPr>
                    <w:pStyle w:val="21"/>
                    <w:spacing w:line="240" w:lineRule="auto"/>
                    <w:ind w:firstLine="0"/>
                    <w:jc w:val="center"/>
                    <w:rPr>
                      <w:sz w:val="18"/>
                      <w:szCs w:val="18"/>
                    </w:rPr>
                  </w:pPr>
                  <w:r>
                    <w:rPr>
                      <w:rFonts w:hint="eastAsia"/>
                      <w:sz w:val="18"/>
                      <w:szCs w:val="18"/>
                    </w:rPr>
                    <w:t>FS-1-1-2</w:t>
                  </w:r>
                </w:p>
              </w:tc>
              <w:tc>
                <w:tcPr>
                  <w:tcW w:w="898" w:type="dxa"/>
                  <w:noWrap w:val="0"/>
                  <w:vAlign w:val="center"/>
                </w:tcPr>
                <w:p>
                  <w:pPr>
                    <w:pStyle w:val="21"/>
                    <w:spacing w:line="240" w:lineRule="auto"/>
                    <w:ind w:firstLine="0"/>
                    <w:jc w:val="center"/>
                    <w:rPr>
                      <w:rFonts w:hint="eastAsia"/>
                      <w:sz w:val="18"/>
                      <w:szCs w:val="18"/>
                      <w:lang w:eastAsia="zh-CN"/>
                    </w:rPr>
                  </w:pPr>
                  <w:r>
                    <w:rPr>
                      <w:rFonts w:hint="eastAsia"/>
                      <w:sz w:val="18"/>
                      <w:szCs w:val="18"/>
                    </w:rPr>
                    <w:t>FS-1-1-3</w:t>
                  </w:r>
                </w:p>
              </w:tc>
              <w:tc>
                <w:tcPr>
                  <w:tcW w:w="898" w:type="dxa"/>
                  <w:noWrap w:val="0"/>
                  <w:vAlign w:val="center"/>
                </w:tcPr>
                <w:p>
                  <w:pPr>
                    <w:pStyle w:val="21"/>
                    <w:spacing w:line="240" w:lineRule="auto"/>
                    <w:ind w:firstLine="0"/>
                    <w:jc w:val="center"/>
                    <w:rPr>
                      <w:rFonts w:hint="eastAsia"/>
                      <w:sz w:val="18"/>
                      <w:szCs w:val="18"/>
                      <w:lang w:val="en-US" w:eastAsia="zh-CN"/>
                    </w:rPr>
                  </w:pPr>
                  <w:r>
                    <w:rPr>
                      <w:rFonts w:hint="eastAsia"/>
                      <w:sz w:val="18"/>
                      <w:szCs w:val="18"/>
                    </w:rPr>
                    <w:t>FS-1-1-</w:t>
                  </w:r>
                  <w:r>
                    <w:rPr>
                      <w:rFonts w:hint="eastAsia"/>
                      <w:sz w:val="18"/>
                      <w:szCs w:val="18"/>
                      <w:lang w:val="en-US" w:eastAsia="zh-CN"/>
                    </w:rPr>
                    <w:t>4</w:t>
                  </w:r>
                </w:p>
              </w:tc>
              <w:tc>
                <w:tcPr>
                  <w:tcW w:w="898" w:type="dxa"/>
                  <w:noWrap w:val="0"/>
                  <w:vAlign w:val="center"/>
                </w:tcPr>
                <w:p>
                  <w:pPr>
                    <w:pStyle w:val="21"/>
                    <w:spacing w:line="240" w:lineRule="auto"/>
                    <w:ind w:firstLine="0"/>
                    <w:jc w:val="center"/>
                    <w:rPr>
                      <w:sz w:val="18"/>
                      <w:szCs w:val="18"/>
                    </w:rPr>
                  </w:pPr>
                  <w:r>
                    <w:rPr>
                      <w:rFonts w:hint="eastAsia"/>
                      <w:sz w:val="18"/>
                      <w:szCs w:val="18"/>
                    </w:rPr>
                    <w:t>FS-2-1-1</w:t>
                  </w:r>
                </w:p>
              </w:tc>
              <w:tc>
                <w:tcPr>
                  <w:tcW w:w="898" w:type="dxa"/>
                  <w:noWrap w:val="0"/>
                  <w:vAlign w:val="center"/>
                </w:tcPr>
                <w:p>
                  <w:pPr>
                    <w:pStyle w:val="21"/>
                    <w:spacing w:line="240" w:lineRule="auto"/>
                    <w:ind w:firstLine="0"/>
                    <w:jc w:val="center"/>
                    <w:rPr>
                      <w:sz w:val="18"/>
                      <w:szCs w:val="18"/>
                    </w:rPr>
                  </w:pPr>
                  <w:r>
                    <w:rPr>
                      <w:rFonts w:hint="eastAsia"/>
                      <w:sz w:val="18"/>
                      <w:szCs w:val="18"/>
                    </w:rPr>
                    <w:t>FS-2-1-2</w:t>
                  </w:r>
                </w:p>
              </w:tc>
              <w:tc>
                <w:tcPr>
                  <w:tcW w:w="898" w:type="dxa"/>
                  <w:noWrap w:val="0"/>
                  <w:vAlign w:val="center"/>
                </w:tcPr>
                <w:p>
                  <w:pPr>
                    <w:pStyle w:val="21"/>
                    <w:spacing w:line="240" w:lineRule="auto"/>
                    <w:ind w:firstLine="0"/>
                    <w:jc w:val="center"/>
                    <w:rPr>
                      <w:rFonts w:hint="eastAsia"/>
                      <w:sz w:val="18"/>
                      <w:szCs w:val="18"/>
                    </w:rPr>
                  </w:pPr>
                  <w:r>
                    <w:rPr>
                      <w:rFonts w:hint="eastAsia"/>
                      <w:sz w:val="18"/>
                      <w:szCs w:val="18"/>
                    </w:rPr>
                    <w:t>FS-2-1-3</w:t>
                  </w:r>
                </w:p>
              </w:tc>
              <w:tc>
                <w:tcPr>
                  <w:tcW w:w="898" w:type="dxa"/>
                  <w:noWrap w:val="0"/>
                  <w:vAlign w:val="center"/>
                </w:tcPr>
                <w:p>
                  <w:pPr>
                    <w:pStyle w:val="21"/>
                    <w:spacing w:line="240" w:lineRule="auto"/>
                    <w:ind w:left="0" w:leftChars="0" w:firstLine="0" w:firstLineChars="0"/>
                    <w:jc w:val="center"/>
                    <w:rPr>
                      <w:rFonts w:hint="eastAsia"/>
                      <w:sz w:val="18"/>
                      <w:szCs w:val="18"/>
                    </w:rPr>
                  </w:pPr>
                  <w:r>
                    <w:rPr>
                      <w:rFonts w:hint="eastAsia"/>
                      <w:sz w:val="18"/>
                      <w:szCs w:val="18"/>
                    </w:rPr>
                    <w:t>FS-</w:t>
                  </w:r>
                  <w:r>
                    <w:rPr>
                      <w:rFonts w:hint="eastAsia"/>
                      <w:sz w:val="18"/>
                      <w:szCs w:val="18"/>
                      <w:lang w:val="en-US" w:eastAsia="zh-CN"/>
                    </w:rPr>
                    <w:t>2</w:t>
                  </w:r>
                  <w:r>
                    <w:rPr>
                      <w:rFonts w:hint="eastAsia"/>
                      <w:sz w:val="18"/>
                      <w:szCs w:val="18"/>
                    </w:rPr>
                    <w:t>-1-</w:t>
                  </w:r>
                  <w:r>
                    <w:rPr>
                      <w:rFonts w:hint="eastAsia"/>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117" w:type="dxa"/>
                  <w:noWrap w:val="0"/>
                  <w:vAlign w:val="center"/>
                </w:tcPr>
                <w:p>
                  <w:pPr>
                    <w:pStyle w:val="21"/>
                    <w:spacing w:line="240" w:lineRule="auto"/>
                    <w:ind w:firstLine="0"/>
                    <w:jc w:val="center"/>
                  </w:pPr>
                  <w:r>
                    <w:rPr>
                      <w:rFonts w:hint="eastAsia"/>
                    </w:rPr>
                    <w:t>样品性状</w:t>
                  </w:r>
                </w:p>
              </w:tc>
              <w:tc>
                <w:tcPr>
                  <w:tcW w:w="893"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rPr>
                      <w:rFonts w:hint="eastAsia"/>
                      <w:lang w:val="en-US" w:eastAsia="zh-CN"/>
                    </w:rP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rPr>
                      <w:rFonts w:hint="eastAsia"/>
                      <w:lang w:eastAsia="zh-CN"/>
                    </w:rP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rPr>
                      <w:rFonts w:hint="eastAsia"/>
                      <w:lang w:val="en-US" w:eastAsia="zh-CN"/>
                    </w:rP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rPr>
                      <w:rFonts w:hint="eastAsia"/>
                      <w:lang w:eastAsia="zh-CN"/>
                    </w:rPr>
                  </w:pPr>
                  <w:r>
                    <w:rPr>
                      <w:rFonts w:hint="eastAsia"/>
                      <w:lang w:val="en-US" w:eastAsia="zh-CN"/>
                    </w:rPr>
                    <w:t>微浑</w:t>
                  </w:r>
                </w:p>
              </w:tc>
              <w:tc>
                <w:tcPr>
                  <w:tcW w:w="898" w:type="dxa"/>
                  <w:noWrap w:val="0"/>
                  <w:vAlign w:val="center"/>
                </w:tcPr>
                <w:p>
                  <w:pPr>
                    <w:overflowPunct w:val="0"/>
                    <w:snapToGrid w:val="0"/>
                    <w:jc w:val="center"/>
                    <w:rPr>
                      <w:rFonts w:hint="eastAsia"/>
                      <w:lang w:val="en-US" w:eastAsia="zh-CN"/>
                    </w:rPr>
                  </w:pPr>
                  <w:r>
                    <w:rPr>
                      <w:rFonts w:hint="eastAsia"/>
                      <w:lang w:val="en-US" w:eastAsia="zh-CN"/>
                    </w:rPr>
                    <w:t>微黄</w:t>
                  </w:r>
                </w:p>
                <w:p>
                  <w:pPr>
                    <w:overflowPunct w:val="0"/>
                    <w:snapToGrid w:val="0"/>
                    <w:jc w:val="center"/>
                    <w:rPr>
                      <w:rFonts w:hint="eastAsia"/>
                      <w:lang w:val="en-US" w:eastAsia="zh-CN"/>
                    </w:rPr>
                  </w:pPr>
                  <w:r>
                    <w:rPr>
                      <w:rFonts w:hint="eastAsia"/>
                      <w:lang w:val="en-US" w:eastAsia="zh-CN"/>
                    </w:rPr>
                    <w:t>微浑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117" w:type="dxa"/>
                  <w:noWrap w:val="0"/>
                  <w:vAlign w:val="center"/>
                </w:tcPr>
                <w:p>
                  <w:pPr>
                    <w:widowControl/>
                    <w:spacing w:line="240" w:lineRule="auto"/>
                    <w:jc w:val="center"/>
                    <w:textAlignment w:val="center"/>
                  </w:pPr>
                  <w:r>
                    <w:t>氨氮</w:t>
                  </w:r>
                </w:p>
                <w:p>
                  <w:pPr>
                    <w:widowControl/>
                    <w:spacing w:line="240" w:lineRule="auto"/>
                    <w:jc w:val="center"/>
                    <w:textAlignment w:val="center"/>
                  </w:pPr>
                  <w:r>
                    <w:rPr>
                      <w:rFonts w:hint="eastAsia"/>
                    </w:rPr>
                    <w:t>（mg/L）</w:t>
                  </w:r>
                </w:p>
              </w:tc>
              <w:tc>
                <w:tcPr>
                  <w:tcW w:w="89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2.58</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3.42</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2.49</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3.23</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3.62</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4.11</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3.34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17" w:type="dxa"/>
                  <w:noWrap w:val="0"/>
                  <w:vAlign w:val="center"/>
                </w:tcPr>
                <w:p>
                  <w:pPr>
                    <w:widowControl/>
                    <w:spacing w:line="240" w:lineRule="auto"/>
                    <w:jc w:val="center"/>
                    <w:textAlignment w:val="center"/>
                    <w:rPr>
                      <w:rFonts w:hint="eastAsia"/>
                    </w:rPr>
                  </w:pPr>
                  <w:r>
                    <w:rPr>
                      <w:rFonts w:hint="eastAsia"/>
                    </w:rPr>
                    <w:t>化学需氧量</w:t>
                  </w:r>
                </w:p>
                <w:p>
                  <w:pPr>
                    <w:widowControl/>
                    <w:spacing w:line="240" w:lineRule="auto"/>
                    <w:jc w:val="center"/>
                    <w:textAlignment w:val="center"/>
                  </w:pPr>
                  <w:r>
                    <w:rPr>
                      <w:rFonts w:hint="eastAsia"/>
                    </w:rPr>
                    <w:t>（mg/L）</w:t>
                  </w:r>
                </w:p>
              </w:tc>
              <w:tc>
                <w:tcPr>
                  <w:tcW w:w="89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92</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104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118</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124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134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117" w:type="dxa"/>
                  <w:noWrap w:val="0"/>
                  <w:vAlign w:val="center"/>
                </w:tcPr>
                <w:p>
                  <w:pPr>
                    <w:widowControl/>
                    <w:spacing w:line="240" w:lineRule="auto"/>
                    <w:jc w:val="center"/>
                    <w:textAlignment w:val="center"/>
                  </w:pPr>
                  <w:r>
                    <w:rPr>
                      <w:rFonts w:hint="eastAsia"/>
                      <w:lang w:val="en-US" w:eastAsia="zh-CN"/>
                    </w:rPr>
                    <w:t>五日生化需氧量</w:t>
                  </w:r>
                  <w:r>
                    <w:rPr>
                      <w:rFonts w:hint="eastAsia"/>
                    </w:rPr>
                    <w:t>（mg/L）</w:t>
                  </w:r>
                </w:p>
              </w:tc>
              <w:tc>
                <w:tcPr>
                  <w:tcW w:w="89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29.3</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33.0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38.5</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25.2</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23.8</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36.4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43.3</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117" w:type="dxa"/>
                  <w:noWrap w:val="0"/>
                  <w:vAlign w:val="center"/>
                </w:tcPr>
                <w:p>
                  <w:pPr>
                    <w:widowControl/>
                    <w:spacing w:line="240" w:lineRule="auto"/>
                    <w:jc w:val="center"/>
                    <w:textAlignment w:val="center"/>
                    <w:rPr>
                      <w:rFonts w:hint="eastAsia"/>
                    </w:rPr>
                  </w:pPr>
                  <w:r>
                    <w:rPr>
                      <w:rFonts w:hint="eastAsia"/>
                    </w:rPr>
                    <w:t>悬浮物</w:t>
                  </w:r>
                </w:p>
                <w:p>
                  <w:pPr>
                    <w:widowControl/>
                    <w:spacing w:line="240" w:lineRule="auto"/>
                    <w:jc w:val="center"/>
                    <w:textAlignment w:val="center"/>
                    <w:rPr>
                      <w:rFonts w:hint="default"/>
                      <w:lang w:val="en-US" w:eastAsia="zh-CN"/>
                    </w:rPr>
                  </w:pPr>
                  <w:r>
                    <w:rPr>
                      <w:rFonts w:hint="eastAsia"/>
                    </w:rPr>
                    <w:t>（mg/L）</w:t>
                  </w:r>
                </w:p>
              </w:tc>
              <w:tc>
                <w:tcPr>
                  <w:tcW w:w="89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31</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44</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35</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41</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39</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48</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33</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9" w:hRule="atLeast"/>
                <w:jc w:val="center"/>
              </w:trPr>
              <w:tc>
                <w:tcPr>
                  <w:tcW w:w="1117" w:type="dxa"/>
                  <w:noWrap w:val="0"/>
                  <w:vAlign w:val="center"/>
                </w:tcPr>
                <w:p>
                  <w:pPr>
                    <w:widowControl/>
                    <w:spacing w:line="240" w:lineRule="auto"/>
                    <w:jc w:val="center"/>
                    <w:textAlignment w:val="center"/>
                    <w:rPr>
                      <w:rFonts w:hint="eastAsia"/>
                      <w:lang w:eastAsia="zh-CN"/>
                    </w:rPr>
                  </w:pPr>
                  <w:r>
                    <w:rPr>
                      <w:rFonts w:hint="eastAsia"/>
                      <w:lang w:eastAsia="zh-CN"/>
                    </w:rPr>
                    <w:t>动植物油类</w:t>
                  </w:r>
                </w:p>
                <w:p>
                  <w:pPr>
                    <w:pStyle w:val="21"/>
                    <w:spacing w:line="240" w:lineRule="auto"/>
                    <w:ind w:left="0" w:leftChars="0" w:firstLine="0" w:firstLineChars="0"/>
                    <w:jc w:val="center"/>
                    <w:rPr>
                      <w:rFonts w:hint="default"/>
                    </w:rPr>
                  </w:pPr>
                  <w:r>
                    <w:rPr>
                      <w:rFonts w:hint="default"/>
                    </w:rPr>
                    <w:t>（mg/L）</w:t>
                  </w:r>
                </w:p>
              </w:tc>
              <w:tc>
                <w:tcPr>
                  <w:tcW w:w="893"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7.30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6.50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7.90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7.00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8.20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7.30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6.90</w:t>
                  </w:r>
                </w:p>
              </w:tc>
              <w:tc>
                <w:tcPr>
                  <w:tcW w:w="898" w:type="dxa"/>
                  <w:noWrap w:val="0"/>
                  <w:vAlign w:val="center"/>
                </w:tcPr>
                <w:p>
                  <w:pPr>
                    <w:keepNext w:val="0"/>
                    <w:keepLines w:val="0"/>
                    <w:widowControl/>
                    <w:suppressLineNumbers w:val="0"/>
                    <w:jc w:val="center"/>
                    <w:textAlignment w:val="center"/>
                    <w:rPr>
                      <w:rFonts w:hint="default"/>
                      <w:lang w:val="en-US" w:eastAsia="zh-CN"/>
                    </w:rPr>
                  </w:pPr>
                  <w:r>
                    <w:rPr>
                      <w:rFonts w:hint="eastAsia"/>
                      <w:lang w:val="en-US" w:eastAsia="zh-CN"/>
                    </w:rPr>
                    <w:t>6.10</w:t>
                  </w:r>
                </w:p>
              </w:tc>
            </w:tr>
          </w:tbl>
          <w:p>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根据项目监测结果可知，项目废水满足《污水综合排放标准》（GB8978-1996)表4中三级标准，其中氨氮满足《污水排入城镇下水道水质标准（GB/T31962-2015)中B级标准限值。</w:t>
            </w:r>
          </w:p>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lang w:val="en-US" w:eastAsia="zh-CN"/>
              </w:rPr>
            </w:pPr>
            <w:r>
              <w:rPr>
                <w:rFonts w:hint="eastAsia"/>
                <w:b/>
                <w:bCs/>
                <w:sz w:val="24"/>
                <w:szCs w:val="24"/>
                <w:lang w:val="en-US" w:eastAsia="zh-CN"/>
              </w:rPr>
              <w:t>表7-3无组织废气监测结果一览表</w:t>
            </w:r>
          </w:p>
          <w:tbl>
            <w:tblPr>
              <w:tblStyle w:val="1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4"/>
              <w:gridCol w:w="1772"/>
              <w:gridCol w:w="1772"/>
              <w:gridCol w:w="1772"/>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noWrap w:val="0"/>
                  <w:vAlign w:val="center"/>
                </w:tcPr>
                <w:p>
                  <w:pPr>
                    <w:jc w:val="center"/>
                    <w:rPr>
                      <w:rFonts w:hint="eastAsia"/>
                      <w:lang w:val="en-US" w:eastAsia="zh-CN"/>
                    </w:rPr>
                  </w:pPr>
                  <w:r>
                    <w:rPr>
                      <w:rFonts w:hint="eastAsia"/>
                      <w:lang w:val="en-US" w:eastAsia="zh-CN"/>
                    </w:rPr>
                    <w:t>样品类别</w:t>
                  </w:r>
                </w:p>
              </w:tc>
              <w:tc>
                <w:tcPr>
                  <w:tcW w:w="7095" w:type="dxa"/>
                  <w:gridSpan w:val="4"/>
                  <w:noWrap w:val="0"/>
                  <w:vAlign w:val="center"/>
                </w:tcPr>
                <w:p>
                  <w:pPr>
                    <w:jc w:val="center"/>
                    <w:rPr>
                      <w:rFonts w:hint="eastAsia"/>
                      <w:lang w:val="en-US" w:eastAsia="zh-CN"/>
                    </w:rPr>
                  </w:pPr>
                  <w:r>
                    <w:rPr>
                      <w:rFonts w:hint="eastAsia"/>
                      <w:lang w:val="en-US" w:eastAsia="zh-CN"/>
                    </w:rPr>
                    <w:t>无组织废气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noWrap w:val="0"/>
                  <w:vAlign w:val="center"/>
                </w:tcPr>
                <w:p>
                  <w:pPr>
                    <w:jc w:val="center"/>
                    <w:rPr>
                      <w:rFonts w:hint="default"/>
                      <w:lang w:val="en-US" w:eastAsia="zh-CN"/>
                    </w:rPr>
                  </w:pPr>
                  <w:r>
                    <w:rPr>
                      <w:rFonts w:hint="eastAsia"/>
                      <w:lang w:val="en-US" w:eastAsia="zh-CN"/>
                    </w:rPr>
                    <w:t>采样时间</w:t>
                  </w:r>
                </w:p>
              </w:tc>
              <w:tc>
                <w:tcPr>
                  <w:tcW w:w="1772" w:type="dxa"/>
                  <w:noWrap w:val="0"/>
                  <w:vAlign w:val="center"/>
                </w:tcPr>
                <w:p>
                  <w:pPr>
                    <w:jc w:val="center"/>
                    <w:rPr>
                      <w:rFonts w:hint="default"/>
                      <w:lang w:val="en-US" w:eastAsia="zh-CN"/>
                    </w:rPr>
                  </w:pPr>
                  <w:r>
                    <w:rPr>
                      <w:rFonts w:hint="eastAsia"/>
                      <w:lang w:val="en-US" w:eastAsia="zh-CN"/>
                    </w:rPr>
                    <w:t>检测点位</w:t>
                  </w:r>
                </w:p>
              </w:tc>
              <w:tc>
                <w:tcPr>
                  <w:tcW w:w="1772" w:type="dxa"/>
                  <w:noWrap w:val="0"/>
                  <w:vAlign w:val="center"/>
                </w:tcPr>
                <w:p>
                  <w:pPr>
                    <w:jc w:val="center"/>
                    <w:rPr>
                      <w:rFonts w:hint="default"/>
                      <w:lang w:val="en-US" w:eastAsia="zh-CN"/>
                    </w:rPr>
                  </w:pPr>
                  <w:r>
                    <w:rPr>
                      <w:rFonts w:hint="default"/>
                      <w:lang w:val="en-US" w:eastAsia="zh-CN"/>
                    </w:rPr>
                    <w:t>采样</w:t>
                  </w:r>
                  <w:r>
                    <w:rPr>
                      <w:rFonts w:hint="eastAsia"/>
                      <w:lang w:val="en-US" w:eastAsia="zh-CN"/>
                    </w:rPr>
                    <w:t>频次</w:t>
                  </w:r>
                </w:p>
              </w:tc>
              <w:tc>
                <w:tcPr>
                  <w:tcW w:w="1772" w:type="dxa"/>
                  <w:noWrap w:val="0"/>
                  <w:vAlign w:val="center"/>
                </w:tcPr>
                <w:p>
                  <w:pPr>
                    <w:jc w:val="center"/>
                    <w:rPr>
                      <w:rFonts w:hint="default"/>
                      <w:lang w:val="en-US" w:eastAsia="zh-CN"/>
                    </w:rPr>
                  </w:pPr>
                  <w:r>
                    <w:rPr>
                      <w:rFonts w:hint="default"/>
                      <w:lang w:val="en-US" w:eastAsia="zh-CN"/>
                    </w:rPr>
                    <w:t>样品编号</w:t>
                  </w:r>
                </w:p>
              </w:tc>
              <w:tc>
                <w:tcPr>
                  <w:tcW w:w="1779" w:type="dxa"/>
                  <w:noWrap w:val="0"/>
                  <w:vAlign w:val="center"/>
                </w:tcPr>
                <w:p>
                  <w:pPr>
                    <w:jc w:val="center"/>
                    <w:rPr>
                      <w:rFonts w:hint="eastAsia"/>
                      <w:lang w:eastAsia="zh-CN"/>
                    </w:rPr>
                  </w:pPr>
                  <w:r>
                    <w:rPr>
                      <w:rFonts w:hint="eastAsia"/>
                      <w:lang w:val="en-US" w:eastAsia="zh-CN"/>
                    </w:rPr>
                    <w:t>颗粒物（m</w:t>
                  </w:r>
                  <w:r>
                    <w:rPr>
                      <w:rFonts w:hint="default"/>
                      <w:lang w:val="en-US" w:eastAsia="zh-CN"/>
                    </w:rPr>
                    <w:t>g</w:t>
                  </w:r>
                  <w:r>
                    <w:rPr>
                      <w:rFonts w:hint="eastAsia"/>
                      <w:lang w:val="en-US" w:eastAsia="zh-CN"/>
                    </w:rPr>
                    <w:t>/m3）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restart"/>
                  <w:noWrap w:val="0"/>
                  <w:vAlign w:val="center"/>
                </w:tcPr>
                <w:p>
                  <w:pPr>
                    <w:adjustRightInd w:val="0"/>
                    <w:snapToGrid w:val="0"/>
                    <w:spacing w:line="240" w:lineRule="auto"/>
                    <w:jc w:val="center"/>
                    <w:rPr>
                      <w:rFonts w:hint="default"/>
                      <w:lang w:val="en-US" w:eastAsia="zh-CN"/>
                    </w:rPr>
                  </w:pPr>
                  <w:r>
                    <w:rPr>
                      <w:rFonts w:hint="eastAsia"/>
                      <w:lang w:val="en-US" w:eastAsia="zh-CN"/>
                    </w:rPr>
                    <w:t>2021.7.1</w:t>
                  </w:r>
                </w:p>
              </w:tc>
              <w:tc>
                <w:tcPr>
                  <w:tcW w:w="1772" w:type="dxa"/>
                  <w:vMerge w:val="restart"/>
                  <w:noWrap w:val="0"/>
                  <w:vAlign w:val="center"/>
                </w:tcPr>
                <w:p>
                  <w:pPr>
                    <w:jc w:val="center"/>
                    <w:rPr>
                      <w:rFonts w:hint="default"/>
                      <w:lang w:val="en-US" w:eastAsia="zh-CN"/>
                    </w:rPr>
                  </w:pPr>
                  <w:r>
                    <w:rPr>
                      <w:rFonts w:hint="eastAsia"/>
                      <w:lang w:val="en-US" w:eastAsia="zh-CN"/>
                    </w:rPr>
                    <w:t>上风向G1</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KQ-1-1-</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KQ-1-1-</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default"/>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KQ-1-1-</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下风向G2</w:t>
                  </w:r>
                </w:p>
              </w:tc>
              <w:tc>
                <w:tcPr>
                  <w:tcW w:w="1772" w:type="dxa"/>
                  <w:noWrap w:val="0"/>
                  <w:vAlign w:val="center"/>
                </w:tcPr>
                <w:p>
                  <w:pPr>
                    <w:jc w:val="center"/>
                    <w:rPr>
                      <w:rFonts w:hint="default"/>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2</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default"/>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2</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default"/>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2</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下风向G3</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3</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 xml:space="preserve">0.210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3</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3</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下风向G4</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4</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 xml:space="preserve">0.220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4</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KQ-1-</w:t>
                  </w:r>
                  <w:r>
                    <w:rPr>
                      <w:rFonts w:hint="eastAsia"/>
                      <w:lang w:val="en-US" w:eastAsia="zh-CN"/>
                    </w:rPr>
                    <w:t>4</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restart"/>
                  <w:noWrap w:val="0"/>
                  <w:vAlign w:val="center"/>
                </w:tcPr>
                <w:p>
                  <w:pPr>
                    <w:widowControl/>
                    <w:spacing w:line="240" w:lineRule="auto"/>
                    <w:jc w:val="center"/>
                    <w:rPr>
                      <w:rFonts w:hint="default"/>
                      <w:lang w:val="en-US" w:eastAsia="zh-CN"/>
                    </w:rPr>
                  </w:pPr>
                  <w:r>
                    <w:rPr>
                      <w:rFonts w:hint="eastAsia"/>
                      <w:lang w:val="en-US" w:eastAsia="zh-CN"/>
                    </w:rPr>
                    <w:t>2021.7.2</w:t>
                  </w:r>
                </w:p>
              </w:tc>
              <w:tc>
                <w:tcPr>
                  <w:tcW w:w="1772" w:type="dxa"/>
                  <w:vMerge w:val="restart"/>
                  <w:noWrap w:val="0"/>
                  <w:vAlign w:val="center"/>
                </w:tcPr>
                <w:p>
                  <w:pPr>
                    <w:jc w:val="center"/>
                    <w:rPr>
                      <w:rFonts w:hint="default"/>
                      <w:lang w:val="en-US" w:eastAsia="zh-CN"/>
                    </w:rPr>
                  </w:pPr>
                  <w:r>
                    <w:rPr>
                      <w:rFonts w:hint="eastAsia"/>
                      <w:lang w:val="en-US" w:eastAsia="zh-CN"/>
                    </w:rPr>
                    <w:t>上风向G1</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-1-</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-1-</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 xml:space="preserve">0.170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-1-</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下风向G2</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下风向G3</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3</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restart"/>
                  <w:noWrap w:val="0"/>
                  <w:vAlign w:val="center"/>
                </w:tcPr>
                <w:p>
                  <w:pPr>
                    <w:jc w:val="center"/>
                    <w:rPr>
                      <w:rFonts w:hint="default"/>
                      <w:lang w:val="en-US" w:eastAsia="zh-CN"/>
                    </w:rPr>
                  </w:pPr>
                  <w:r>
                    <w:rPr>
                      <w:rFonts w:hint="eastAsia"/>
                      <w:lang w:val="en-US" w:eastAsia="zh-CN"/>
                    </w:rPr>
                    <w:t>下风向G4</w:t>
                  </w:r>
                </w:p>
              </w:tc>
              <w:tc>
                <w:tcPr>
                  <w:tcW w:w="1772" w:type="dxa"/>
                  <w:noWrap w:val="0"/>
                  <w:vAlign w:val="center"/>
                </w:tcPr>
                <w:p>
                  <w:pPr>
                    <w:jc w:val="center"/>
                    <w:rPr>
                      <w:rFonts w:hint="eastAsia"/>
                      <w:lang w:val="en-US" w:eastAsia="zh-CN"/>
                    </w:rPr>
                  </w:pPr>
                  <w:r>
                    <w:rPr>
                      <w:rFonts w:hint="eastAsia"/>
                      <w:lang w:val="en-US" w:eastAsia="zh-CN"/>
                    </w:rPr>
                    <w:t>第一次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1</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第二次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2</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264" w:type="dxa"/>
                  <w:vMerge w:val="continue"/>
                  <w:noWrap w:val="0"/>
                  <w:vAlign w:val="center"/>
                </w:tcPr>
                <w:p>
                  <w:pPr>
                    <w:jc w:val="center"/>
                    <w:rPr>
                      <w:rFonts w:hint="default"/>
                      <w:lang w:val="en-US" w:eastAsia="zh-CN"/>
                    </w:rPr>
                  </w:pPr>
                </w:p>
              </w:tc>
              <w:tc>
                <w:tcPr>
                  <w:tcW w:w="1772" w:type="dxa"/>
                  <w:vMerge w:val="continue"/>
                  <w:noWrap w:val="0"/>
                  <w:vAlign w:val="center"/>
                </w:tcPr>
                <w:p>
                  <w:pPr>
                    <w:jc w:val="center"/>
                    <w:rPr>
                      <w:rFonts w:hint="default"/>
                      <w:lang w:val="en-US" w:eastAsia="zh-CN"/>
                    </w:rPr>
                  </w:pPr>
                </w:p>
              </w:tc>
              <w:tc>
                <w:tcPr>
                  <w:tcW w:w="1772" w:type="dxa"/>
                  <w:noWrap w:val="0"/>
                  <w:vAlign w:val="center"/>
                </w:tcPr>
                <w:p>
                  <w:pPr>
                    <w:jc w:val="center"/>
                    <w:rPr>
                      <w:rFonts w:hint="eastAsia"/>
                      <w:lang w:val="en-US" w:eastAsia="zh-CN"/>
                    </w:rPr>
                  </w:pPr>
                  <w:r>
                    <w:rPr>
                      <w:rFonts w:hint="eastAsia"/>
                      <w:lang w:val="en-US" w:eastAsia="zh-CN"/>
                    </w:rPr>
                    <w:t>第三次</w:t>
                  </w:r>
                </w:p>
              </w:tc>
              <w:tc>
                <w:tcPr>
                  <w:tcW w:w="1772" w:type="dxa"/>
                  <w:noWrap w:val="0"/>
                  <w:vAlign w:val="center"/>
                </w:tcPr>
                <w:p>
                  <w:pPr>
                    <w:jc w:val="center"/>
                    <w:rPr>
                      <w:rFonts w:hint="default"/>
                      <w:lang w:val="en-US" w:eastAsia="zh-CN"/>
                    </w:rPr>
                  </w:pPr>
                  <w:r>
                    <w:rPr>
                      <w:rFonts w:hint="default"/>
                      <w:lang w:val="en-US" w:eastAsia="zh-CN"/>
                    </w:rPr>
                    <w:t>KQ-</w:t>
                  </w:r>
                  <w:r>
                    <w:rPr>
                      <w:rFonts w:hint="eastAsia"/>
                      <w:lang w:val="en-US" w:eastAsia="zh-CN"/>
                    </w:rPr>
                    <w:t>2</w:t>
                  </w:r>
                  <w:r>
                    <w:rPr>
                      <w:rFonts w:hint="default"/>
                      <w:lang w:val="en-US" w:eastAsia="zh-CN"/>
                    </w:rPr>
                    <w:t>-</w:t>
                  </w:r>
                  <w:r>
                    <w:rPr>
                      <w:rFonts w:hint="eastAsia"/>
                      <w:lang w:val="en-US" w:eastAsia="zh-CN"/>
                    </w:rPr>
                    <w:t>4</w:t>
                  </w:r>
                  <w:r>
                    <w:rPr>
                      <w:rFonts w:hint="default"/>
                      <w:lang w:val="en-US" w:eastAsia="zh-CN"/>
                    </w:rPr>
                    <w:t>-</w:t>
                  </w:r>
                  <w:r>
                    <w:rPr>
                      <w:rFonts w:hint="eastAsia"/>
                      <w:lang w:val="en-US" w:eastAsia="zh-CN"/>
                    </w:rPr>
                    <w:t>3</w:t>
                  </w:r>
                </w:p>
              </w:tc>
              <w:tc>
                <w:tcPr>
                  <w:tcW w:w="1779" w:type="dxa"/>
                  <w:noWrap w:val="0"/>
                  <w:vAlign w:val="center"/>
                </w:tcPr>
                <w:p>
                  <w:pPr>
                    <w:keepNext w:val="0"/>
                    <w:keepLines w:val="0"/>
                    <w:widowControl/>
                    <w:suppressLineNumbers w:val="0"/>
                    <w:jc w:val="center"/>
                    <w:textAlignment w:val="center"/>
                    <w:rPr>
                      <w:rFonts w:hint="default"/>
                      <w:lang w:val="en-US" w:eastAsia="zh-CN"/>
                    </w:rPr>
                  </w:pPr>
                  <w:r>
                    <w:rPr>
                      <w:rFonts w:hint="default"/>
                      <w:lang w:val="en-US" w:eastAsia="zh-CN"/>
                    </w:rPr>
                    <w:t>0.212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lang w:val="en-US" w:eastAsia="zh-CN"/>
              </w:rPr>
            </w:pPr>
            <w:r>
              <w:rPr>
                <w:rFonts w:hint="eastAsia"/>
                <w:lang w:val="en-US" w:eastAsia="zh-CN"/>
              </w:rPr>
              <w:t>由监测结果可知，项目无组织废气满足《大气污染物综合排放标准》（GB16297-1996）中表2无组织排放监控浓度限值。</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center"/>
              <w:textAlignment w:val="auto"/>
              <w:rPr>
                <w:rFonts w:hint="eastAsia"/>
                <w:b/>
                <w:bCs/>
                <w:lang w:val="en-US" w:eastAsia="zh-CN"/>
              </w:rPr>
            </w:pPr>
            <w:r>
              <w:rPr>
                <w:rFonts w:hint="eastAsia"/>
                <w:b/>
                <w:bCs/>
                <w:lang w:val="en-US" w:eastAsia="zh-CN"/>
              </w:rPr>
              <w:t>表7-4噪声监测结果一览表</w:t>
            </w:r>
          </w:p>
          <w:tbl>
            <w:tblPr>
              <w:tblStyle w:val="1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057"/>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tcBorders>
                    <w:tl2br w:val="nil"/>
                    <w:tr2bl w:val="nil"/>
                  </w:tcBorders>
                  <w:noWrap w:val="0"/>
                  <w:vAlign w:val="center"/>
                </w:tcPr>
                <w:p>
                  <w:pPr>
                    <w:spacing w:line="240" w:lineRule="auto"/>
                    <w:jc w:val="center"/>
                    <w:rPr>
                      <w:rFonts w:hint="eastAsia"/>
                      <w:lang w:eastAsia="zh-CN"/>
                    </w:rPr>
                  </w:pPr>
                  <w:r>
                    <w:rPr>
                      <w:rFonts w:hint="eastAsia"/>
                      <w:lang w:eastAsia="zh-CN"/>
                    </w:rPr>
                    <w:t>样品类别</w:t>
                  </w:r>
                </w:p>
              </w:tc>
              <w:tc>
                <w:tcPr>
                  <w:tcW w:w="6239" w:type="dxa"/>
                  <w:gridSpan w:val="2"/>
                  <w:tcBorders>
                    <w:tl2br w:val="nil"/>
                    <w:tr2bl w:val="nil"/>
                  </w:tcBorders>
                  <w:noWrap w:val="0"/>
                  <w:vAlign w:val="center"/>
                </w:tcPr>
                <w:p>
                  <w:pPr>
                    <w:spacing w:line="240" w:lineRule="auto"/>
                    <w:jc w:val="center"/>
                    <w:rPr>
                      <w:rFonts w:hint="eastAsia"/>
                      <w:lang w:eastAsia="zh-CN"/>
                    </w:rPr>
                  </w:pPr>
                  <w:r>
                    <w:rPr>
                      <w:rFonts w:hint="eastAsia"/>
                      <w:lang w:eastAsia="zh-CN"/>
                    </w:rPr>
                    <w:t>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restart"/>
                  <w:tcBorders>
                    <w:tl2br w:val="nil"/>
                    <w:tr2bl w:val="nil"/>
                  </w:tcBorders>
                  <w:noWrap w:val="0"/>
                  <w:vAlign w:val="center"/>
                </w:tcPr>
                <w:p>
                  <w:pPr>
                    <w:spacing w:line="240" w:lineRule="auto"/>
                    <w:jc w:val="center"/>
                    <w:rPr>
                      <w:rFonts w:hint="default"/>
                    </w:rPr>
                  </w:pPr>
                  <w:r>
                    <w:rPr>
                      <w:rFonts w:hint="default"/>
                    </w:rPr>
                    <w:t>检测日期</w:t>
                  </w:r>
                </w:p>
              </w:tc>
              <w:tc>
                <w:tcPr>
                  <w:tcW w:w="3057" w:type="dxa"/>
                  <w:vMerge w:val="restart"/>
                  <w:tcBorders>
                    <w:tl2br w:val="nil"/>
                    <w:tr2bl w:val="nil"/>
                  </w:tcBorders>
                  <w:noWrap w:val="0"/>
                  <w:vAlign w:val="center"/>
                </w:tcPr>
                <w:p>
                  <w:pPr>
                    <w:spacing w:line="240" w:lineRule="auto"/>
                    <w:jc w:val="center"/>
                    <w:rPr>
                      <w:rFonts w:hint="eastAsia"/>
                      <w:lang w:eastAsia="zh-CN"/>
                    </w:rPr>
                  </w:pPr>
                  <w:r>
                    <w:rPr>
                      <w:rFonts w:hint="default"/>
                    </w:rPr>
                    <w:t>检测点位</w:t>
                  </w:r>
                </w:p>
              </w:tc>
              <w:tc>
                <w:tcPr>
                  <w:tcW w:w="3182" w:type="dxa"/>
                  <w:tcBorders>
                    <w:tl2br w:val="nil"/>
                    <w:tr2bl w:val="nil"/>
                  </w:tcBorders>
                  <w:noWrap w:val="0"/>
                  <w:vAlign w:val="center"/>
                </w:tcPr>
                <w:p>
                  <w:pPr>
                    <w:spacing w:line="240" w:lineRule="auto"/>
                    <w:jc w:val="center"/>
                    <w:rPr>
                      <w:rFonts w:hint="default"/>
                    </w:rPr>
                  </w:pPr>
                  <w:r>
                    <w:rPr>
                      <w:rFonts w:hint="default"/>
                    </w:rPr>
                    <w:t>检测结果</w:t>
                  </w:r>
                  <w:r>
                    <w:rPr>
                      <w:rFonts w:hint="default"/>
                      <w:lang w:val="en-US" w:eastAsia="zh-CN"/>
                    </w:rPr>
                    <w:t xml:space="preserve"> </w:t>
                  </w:r>
                  <w:r>
                    <w:rPr>
                      <w:rFonts w:hint="eastAsia"/>
                      <w:lang w:val="en-US" w:eastAsia="zh-CN"/>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spacing w:line="240" w:lineRule="auto"/>
                    <w:jc w:val="center"/>
                  </w:pPr>
                </w:p>
              </w:tc>
              <w:tc>
                <w:tcPr>
                  <w:tcW w:w="3057" w:type="dxa"/>
                  <w:vMerge w:val="continue"/>
                  <w:tcBorders>
                    <w:tl2br w:val="nil"/>
                    <w:tr2bl w:val="nil"/>
                  </w:tcBorders>
                  <w:noWrap w:val="0"/>
                  <w:vAlign w:val="center"/>
                </w:tcPr>
                <w:p>
                  <w:pPr>
                    <w:spacing w:line="240" w:lineRule="auto"/>
                    <w:jc w:val="center"/>
                  </w:pPr>
                </w:p>
              </w:tc>
              <w:tc>
                <w:tcPr>
                  <w:tcW w:w="3182" w:type="dxa"/>
                  <w:tcBorders>
                    <w:tl2br w:val="nil"/>
                    <w:tr2bl w:val="nil"/>
                  </w:tcBorders>
                  <w:noWrap w:val="0"/>
                  <w:vAlign w:val="center"/>
                </w:tcPr>
                <w:p>
                  <w:pPr>
                    <w:spacing w:line="240" w:lineRule="auto"/>
                    <w:jc w:val="center"/>
                    <w:rPr>
                      <w:rFonts w:hint="eastAsia"/>
                      <w:lang w:eastAsia="zh-CN"/>
                    </w:rPr>
                  </w:pPr>
                  <w:r>
                    <w:rPr>
                      <w:rFonts w:hint="eastAsia"/>
                      <w:lang w:eastAsia="zh-CN"/>
                    </w:rPr>
                    <w:t>昼间</w:t>
                  </w:r>
                  <w:r>
                    <w:rPr>
                      <w:rFonts w:hint="default"/>
                      <w:lang w:val="en-US" w:eastAsia="zh-CN"/>
                    </w:rPr>
                    <w:t>Leq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60" w:type="dxa"/>
                  <w:vMerge w:val="restart"/>
                  <w:tcBorders>
                    <w:tl2br w:val="nil"/>
                    <w:tr2bl w:val="nil"/>
                  </w:tcBorders>
                  <w:noWrap w:val="0"/>
                  <w:vAlign w:val="center"/>
                </w:tcPr>
                <w:p>
                  <w:pPr>
                    <w:adjustRightInd w:val="0"/>
                    <w:snapToGrid w:val="0"/>
                    <w:spacing w:line="240" w:lineRule="auto"/>
                    <w:jc w:val="center"/>
                    <w:rPr>
                      <w:rFonts w:hint="default"/>
                      <w:lang w:val="en-US"/>
                    </w:rPr>
                  </w:pPr>
                  <w:r>
                    <w:rPr>
                      <w:rFonts w:hint="eastAsia"/>
                      <w:lang w:val="en-US" w:eastAsia="zh-CN"/>
                    </w:rPr>
                    <w:t>2021.7.1</w:t>
                  </w:r>
                </w:p>
              </w:tc>
              <w:tc>
                <w:tcPr>
                  <w:tcW w:w="3057" w:type="dxa"/>
                  <w:tcBorders>
                    <w:tl2br w:val="nil"/>
                    <w:tr2bl w:val="nil"/>
                  </w:tcBorders>
                  <w:noWrap w:val="0"/>
                  <w:vAlign w:val="center"/>
                </w:tcPr>
                <w:p>
                  <w:pPr>
                    <w:widowControl/>
                    <w:spacing w:line="240" w:lineRule="auto"/>
                    <w:jc w:val="center"/>
                  </w:pPr>
                  <w:r>
                    <w:rPr>
                      <w:rFonts w:hint="eastAsia"/>
                      <w:lang w:val="en-US" w:eastAsia="zh-CN"/>
                    </w:rPr>
                    <w:t>N1厂界东</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widowControl/>
                    <w:spacing w:line="240" w:lineRule="auto"/>
                    <w:jc w:val="center"/>
                    <w:rPr>
                      <w:rFonts w:hint="default"/>
                      <w:lang w:val="en-US" w:eastAsia="zh-CN"/>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N2厂界南</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widowControl/>
                    <w:spacing w:line="240" w:lineRule="auto"/>
                    <w:jc w:val="center"/>
                    <w:rPr>
                      <w:rFonts w:hint="default"/>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N3厂界西</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widowControl/>
                    <w:spacing w:line="240" w:lineRule="auto"/>
                    <w:jc w:val="center"/>
                    <w:rPr>
                      <w:rFonts w:hint="default"/>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N4厂界北</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restart"/>
                  <w:tcBorders>
                    <w:tl2br w:val="nil"/>
                    <w:tr2bl w:val="nil"/>
                  </w:tcBorders>
                  <w:noWrap w:val="0"/>
                  <w:vAlign w:val="center"/>
                </w:tcPr>
                <w:p>
                  <w:pPr>
                    <w:widowControl/>
                    <w:spacing w:line="240" w:lineRule="auto"/>
                    <w:jc w:val="center"/>
                    <w:rPr>
                      <w:rFonts w:hint="default"/>
                      <w:lang w:val="en-US" w:eastAsia="zh-CN"/>
                    </w:rPr>
                  </w:pPr>
                  <w:r>
                    <w:rPr>
                      <w:rFonts w:hint="eastAsia"/>
                      <w:lang w:val="en-US" w:eastAsia="zh-CN"/>
                    </w:rPr>
                    <w:t>2021.7.2</w:t>
                  </w: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N1厂界东</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widowControl/>
                    <w:spacing w:line="240" w:lineRule="auto"/>
                    <w:jc w:val="center"/>
                    <w:rPr>
                      <w:rFonts w:hint="default"/>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N2厂界南</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2160" w:type="dxa"/>
                  <w:vMerge w:val="continue"/>
                  <w:tcBorders>
                    <w:tl2br w:val="nil"/>
                    <w:tr2bl w:val="nil"/>
                  </w:tcBorders>
                  <w:noWrap w:val="0"/>
                  <w:vAlign w:val="center"/>
                </w:tcPr>
                <w:p>
                  <w:pPr>
                    <w:widowControl/>
                    <w:spacing w:line="240" w:lineRule="auto"/>
                    <w:jc w:val="center"/>
                    <w:rPr>
                      <w:rFonts w:hint="default"/>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N3厂界西</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Merge w:val="continue"/>
                  <w:tcBorders>
                    <w:tl2br w:val="nil"/>
                    <w:tr2bl w:val="nil"/>
                  </w:tcBorders>
                  <w:noWrap w:val="0"/>
                  <w:vAlign w:val="center"/>
                </w:tcPr>
                <w:p>
                  <w:pPr>
                    <w:widowControl/>
                    <w:spacing w:line="240" w:lineRule="auto"/>
                    <w:jc w:val="center"/>
                    <w:rPr>
                      <w:rFonts w:hint="default"/>
                    </w:rPr>
                  </w:pPr>
                </w:p>
              </w:tc>
              <w:tc>
                <w:tcPr>
                  <w:tcW w:w="3057" w:type="dxa"/>
                  <w:tcBorders>
                    <w:tl2br w:val="nil"/>
                    <w:tr2bl w:val="nil"/>
                  </w:tcBorders>
                  <w:noWrap w:val="0"/>
                  <w:vAlign w:val="center"/>
                </w:tcPr>
                <w:p>
                  <w:pPr>
                    <w:widowControl/>
                    <w:spacing w:line="240" w:lineRule="auto"/>
                    <w:jc w:val="center"/>
                    <w:rPr>
                      <w:rFonts w:hint="eastAsia"/>
                      <w:lang w:val="en-US" w:eastAsia="zh-CN"/>
                    </w:rPr>
                  </w:pPr>
                  <w:r>
                    <w:rPr>
                      <w:rFonts w:hint="eastAsia"/>
                      <w:lang w:val="en-US" w:eastAsia="zh-CN"/>
                    </w:rPr>
                    <w:t>N4厂界北</w:t>
                  </w:r>
                </w:p>
              </w:tc>
              <w:tc>
                <w:tcPr>
                  <w:tcW w:w="3182" w:type="dxa"/>
                  <w:tcBorders>
                    <w:tl2br w:val="nil"/>
                    <w:tr2bl w:val="nil"/>
                  </w:tcBorders>
                  <w:noWrap w:val="0"/>
                  <w:vAlign w:val="center"/>
                </w:tcPr>
                <w:p>
                  <w:pPr>
                    <w:keepNext w:val="0"/>
                    <w:keepLines w:val="0"/>
                    <w:widowControl/>
                    <w:suppressLineNumbers w:val="0"/>
                    <w:overflowPunct w:val="0"/>
                    <w:snapToGrid w:val="0"/>
                    <w:jc w:val="center"/>
                    <w:textAlignment w:val="center"/>
                    <w:rPr>
                      <w:rFonts w:hint="default"/>
                      <w:lang w:val="en-US" w:eastAsia="zh-CN"/>
                    </w:rPr>
                  </w:pPr>
                  <w:r>
                    <w:rPr>
                      <w:rFonts w:hint="eastAsia"/>
                      <w:lang w:val="en-US" w:eastAsia="zh-CN"/>
                    </w:rPr>
                    <w:t>52</w:t>
                  </w:r>
                </w:p>
              </w:tc>
            </w:tr>
          </w:tbl>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lang w:val="en-US" w:eastAsia="zh-CN"/>
              </w:rPr>
            </w:pPr>
            <w:r>
              <w:rPr>
                <w:rFonts w:hint="eastAsia"/>
                <w:lang w:val="en-US" w:eastAsia="zh-CN"/>
              </w:rPr>
              <w:t>由监测结果可知，项目噪声满足《工业企业厂界环境噪声排放标准》（GB12348-2008）中3类标准。</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lang w:val="en-US" w:eastAsia="zh-CN"/>
              </w:rPr>
            </w:pPr>
            <w:r>
              <w:rPr>
                <w:rFonts w:hint="eastAsia"/>
                <w:lang w:val="en-US" w:eastAsia="zh-CN"/>
              </w:rPr>
              <w:t>附监测点位图</w:t>
            </w:r>
          </w:p>
          <w:p>
            <w:pPr>
              <w:bidi w:val="0"/>
              <w:jc w:val="center"/>
            </w:pPr>
            <w:r>
              <w:drawing>
                <wp:inline distT="0" distB="0" distL="114300" distR="114300">
                  <wp:extent cx="3675380" cy="2536825"/>
                  <wp:effectExtent l="0" t="0" r="1270" b="158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675380" cy="2536825"/>
                          </a:xfrm>
                          <a:prstGeom prst="rect">
                            <a:avLst/>
                          </a:prstGeom>
                          <a:noFill/>
                          <a:ln>
                            <a:noFill/>
                          </a:ln>
                        </pic:spPr>
                      </pic:pic>
                    </a:graphicData>
                  </a:graphic>
                </wp:inline>
              </w:drawing>
            </w:r>
          </w:p>
          <w:p>
            <w:pPr>
              <w:bidi w:val="0"/>
              <w:rPr>
                <w:rFonts w:hint="default"/>
                <w:lang w:val="en-US" w:eastAsia="zh-CN"/>
              </w:rPr>
            </w:pPr>
            <w:r>
              <w:rPr>
                <w:rFonts w:hint="eastAsia"/>
                <w:lang w:val="en-US" w:eastAsia="zh-CN"/>
              </w:rPr>
              <w:t>备注：</w:t>
            </w:r>
            <w:r>
              <w:rPr>
                <w:rFonts w:hint="eastAsia"/>
                <w:lang w:eastAsia="zh-CN"/>
              </w:rPr>
              <w:t>▲</w:t>
            </w:r>
            <w:r>
              <w:rPr>
                <w:rFonts w:hint="eastAsia"/>
                <w:lang w:val="en-US" w:eastAsia="zh-CN"/>
              </w:rPr>
              <w:t>为厂界噪声检测点位；</w:t>
            </w:r>
            <w:r>
              <w:rPr>
                <w:rFonts w:hint="eastAsia"/>
                <w:lang w:eastAsia="zh-CN"/>
              </w:rPr>
              <w:t>○</w:t>
            </w:r>
            <w:r>
              <w:rPr>
                <w:rFonts w:hint="eastAsia"/>
                <w:lang w:val="en-US" w:eastAsia="zh-CN"/>
              </w:rPr>
              <w:t>为无组织检测点位</w:t>
            </w:r>
          </w:p>
        </w:tc>
      </w:tr>
    </w:tbl>
    <w:p>
      <w:pPr>
        <w:pStyle w:val="5"/>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cs="Times New Roman"/>
          <w:b/>
          <w:sz w:val="28"/>
          <w:szCs w:val="28"/>
          <w:lang w:val="en-US" w:eastAsia="zh-CN"/>
        </w:rPr>
      </w:pPr>
      <w:bookmarkStart w:id="21" w:name="_Toc32403"/>
      <w:bookmarkStart w:id="22" w:name="_Toc9343"/>
      <w:bookmarkStart w:id="23" w:name="_Toc30551"/>
      <w:r>
        <w:rPr>
          <w:rFonts w:hint="eastAsia" w:cs="Times New Roman"/>
          <w:b/>
          <w:sz w:val="28"/>
          <w:szCs w:val="28"/>
          <w:lang w:val="en-US" w:eastAsia="zh-CN"/>
        </w:rPr>
        <w:t>表八  验收监测结论</w:t>
      </w:r>
      <w:bookmarkEnd w:id="21"/>
      <w:bookmarkEnd w:id="22"/>
      <w:bookmarkEnd w:id="23"/>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pStyle w:val="2"/>
              <w:jc w:val="both"/>
              <w:rPr>
                <w:rFonts w:hint="default"/>
                <w:b/>
                <w:bCs/>
                <w:sz w:val="24"/>
                <w:szCs w:val="24"/>
                <w:vertAlign w:val="baseline"/>
                <w:lang w:val="en-US" w:eastAsia="zh-CN"/>
              </w:rPr>
            </w:pPr>
            <w:r>
              <w:rPr>
                <w:rFonts w:hint="eastAsia"/>
                <w:b/>
                <w:bCs/>
                <w:sz w:val="24"/>
                <w:szCs w:val="24"/>
                <w:vertAlign w:val="baseline"/>
                <w:lang w:val="en-US" w:eastAsia="zh-CN"/>
              </w:rPr>
              <w:t>1、结论</w:t>
            </w:r>
          </w:p>
          <w:p>
            <w:pPr>
              <w:pStyle w:val="2"/>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(1）项目概况</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安徽丰十味食品有限公司投资160万于安徽省居巢经开区标准化厂房7号厂房3楼西侧建设“年产3000吨蛋挞半成品项目”，建筑面积约809㎡，购置搅拌机、起酥机、成型机、封口机等设备，项目建成后可形成年产蛋挞皮1560吨、蛋挞液250吨的生产能力。</w:t>
            </w:r>
          </w:p>
          <w:p>
            <w:pPr>
              <w:pStyle w:val="2"/>
              <w:keepNext w:val="0"/>
              <w:keepLines w:val="0"/>
              <w:pageBreakBefore w:val="0"/>
              <w:widowControl w:val="0"/>
              <w:numPr>
                <w:ilvl w:val="0"/>
                <w:numId w:val="10"/>
              </w:numPr>
              <w:kinsoku/>
              <w:wordWrap/>
              <w:overflowPunct/>
              <w:topLinePunct w:val="0"/>
              <w:autoSpaceDE w:val="0"/>
              <w:autoSpaceDN w:val="0"/>
              <w:bidi w:val="0"/>
              <w:adjustRightInd w:val="0"/>
              <w:snapToGrid/>
              <w:spacing w:line="360" w:lineRule="auto"/>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竣工验收监测</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本 项目阶段性验收期间，主体工程及污染物治理设施运转正常，满足阶段性验收监测技术规范要求。</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①</w:t>
            </w:r>
            <w:r>
              <w:rPr>
                <w:rFonts w:hint="eastAsia"/>
                <w:b w:val="0"/>
                <w:bCs w:val="0"/>
                <w:sz w:val="24"/>
                <w:szCs w:val="24"/>
                <w:vertAlign w:val="baseline"/>
                <w:lang w:val="en-US" w:eastAsia="zh-CN"/>
              </w:rPr>
              <w:t>废气</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default"/>
                <w:sz w:val="24"/>
                <w:szCs w:val="24"/>
                <w:vertAlign w:val="baseline"/>
                <w:lang w:val="en-US" w:eastAsia="zh-CN"/>
              </w:rPr>
              <w:t>本项目营运后，主要废气为面粉配料、和面过程中产生的粉尘，通过作业时轻拿轻投、减少无组织粉尘排放，配备1台工业吸尘器对车间无组织粉尘进行收集，并加强车间保洁；车间内安装空气净化系统、加强室内的通风换气，无组织颗粒物排放满足《大气污染物综合排放标准》 （GB16297-1996）表2无组织排放监控浓度限值。</w:t>
            </w:r>
          </w:p>
          <w:p>
            <w:pPr>
              <w:pStyle w:val="2"/>
              <w:ind w:firstLine="480" w:firstLineChars="200"/>
              <w:jc w:val="both"/>
              <w:rPr>
                <w:rFonts w:hint="eastAsia" w:hAnsi="宋体" w:cs="宋体"/>
                <w:b w:val="0"/>
                <w:bCs w:val="0"/>
                <w:sz w:val="24"/>
                <w:szCs w:val="24"/>
                <w:vertAlign w:val="baseline"/>
                <w:lang w:val="en-US" w:eastAsia="zh-CN"/>
              </w:rPr>
            </w:pPr>
            <w:r>
              <w:rPr>
                <w:rFonts w:hint="eastAsia" w:ascii="宋体" w:hAnsi="宋体" w:eastAsia="宋体" w:cs="宋体"/>
                <w:b w:val="0"/>
                <w:bCs w:val="0"/>
                <w:sz w:val="24"/>
                <w:szCs w:val="24"/>
                <w:vertAlign w:val="baseline"/>
                <w:lang w:val="en-US" w:eastAsia="zh-CN"/>
              </w:rPr>
              <w:t>②</w:t>
            </w:r>
            <w:r>
              <w:rPr>
                <w:rFonts w:hint="eastAsia" w:hAnsi="宋体" w:cs="宋体"/>
                <w:b w:val="0"/>
                <w:bCs w:val="0"/>
                <w:sz w:val="24"/>
                <w:szCs w:val="24"/>
                <w:vertAlign w:val="baseline"/>
                <w:lang w:val="en-US" w:eastAsia="zh-CN"/>
              </w:rPr>
              <w:t>废水</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sz w:val="24"/>
                <w:szCs w:val="24"/>
                <w:vertAlign w:val="baseline"/>
                <w:lang w:val="en-US" w:eastAsia="zh-CN"/>
              </w:rPr>
            </w:pPr>
            <w:r>
              <w:rPr>
                <w:rFonts w:hint="default"/>
                <w:sz w:val="24"/>
                <w:szCs w:val="24"/>
                <w:vertAlign w:val="baseline"/>
                <w:lang w:val="en-US" w:eastAsia="zh-CN"/>
              </w:rPr>
              <w:t>本项目营运期生产废水经厂区自建隔油沉淀池处理，职工生活污水经化粪池预处理，统一汇集到厂区污水总排口达《污水综合排放标准》（GB8978-1996）表4中三级标准，其中氨氮达《污水排入城镇下水道水质标准》（GB/T 31962-2015)中B级标准，接入市政污水管网，进入巢湖市岗岭污水处理厂进行处理，达DB34/2710-2016中“城镇污水处理厂I”相关标准，其中未规定污染物指标执行《城镇污水处理厂污染物排放标准》一级A标准后外排至裕溪河</w:t>
            </w:r>
            <w:r>
              <w:rPr>
                <w:rFonts w:hint="eastAsia"/>
                <w:sz w:val="24"/>
                <w:szCs w:val="24"/>
                <w:vertAlign w:val="baseline"/>
                <w:lang w:val="en-US" w:eastAsia="zh-CN"/>
              </w:rPr>
              <w:t>。</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sz w:val="24"/>
                <w:szCs w:val="24"/>
                <w:vertAlign w:val="baseline"/>
                <w:lang w:val="en-US" w:eastAsia="zh-CN"/>
              </w:rPr>
            </w:pPr>
            <w:r>
              <w:rPr>
                <w:rFonts w:hint="eastAsia" w:ascii="宋体" w:hAnsi="宋体" w:eastAsia="宋体" w:cs="宋体"/>
                <w:sz w:val="24"/>
                <w:szCs w:val="24"/>
                <w:vertAlign w:val="baseline"/>
                <w:lang w:val="en-US" w:eastAsia="zh-CN"/>
              </w:rPr>
              <w:t>③</w:t>
            </w:r>
            <w:r>
              <w:rPr>
                <w:rFonts w:hint="eastAsia"/>
                <w:sz w:val="24"/>
                <w:szCs w:val="24"/>
                <w:vertAlign w:val="baseline"/>
                <w:lang w:val="en-US" w:eastAsia="zh-CN"/>
              </w:rPr>
              <w:t>噪声</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sz w:val="24"/>
                <w:szCs w:val="24"/>
                <w:vertAlign w:val="baseline"/>
                <w:lang w:val="en-US" w:eastAsia="zh-CN"/>
              </w:rPr>
            </w:pPr>
            <w:r>
              <w:rPr>
                <w:rFonts w:hint="eastAsia"/>
                <w:sz w:val="24"/>
                <w:szCs w:val="24"/>
                <w:vertAlign w:val="baseline"/>
                <w:lang w:val="en-US" w:eastAsia="zh-CN"/>
              </w:rPr>
              <w:t>监测结果表明。本项目四周厂界昼间噪声达到《工业企业厂界环境噪声排放标准》（GB12348-2008)中3类标准限值，对环境影响较小。</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sz w:val="24"/>
                <w:szCs w:val="24"/>
                <w:vertAlign w:val="baseline"/>
                <w:lang w:val="en-US" w:eastAsia="zh-CN"/>
              </w:rPr>
            </w:pPr>
            <w:r>
              <w:rPr>
                <w:rFonts w:hint="eastAsia" w:ascii="宋体" w:hAnsi="宋体" w:eastAsia="宋体" w:cs="宋体"/>
                <w:sz w:val="24"/>
                <w:szCs w:val="24"/>
                <w:vertAlign w:val="baseline"/>
                <w:lang w:val="en-US" w:eastAsia="zh-CN"/>
              </w:rPr>
              <w:t>④</w:t>
            </w:r>
            <w:r>
              <w:rPr>
                <w:rFonts w:hint="eastAsia"/>
                <w:sz w:val="24"/>
                <w:szCs w:val="24"/>
                <w:vertAlign w:val="baseline"/>
                <w:lang w:val="en-US" w:eastAsia="zh-CN"/>
              </w:rPr>
              <w:t>固废</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hAnsi="宋体" w:cs="宋体"/>
                <w:sz w:val="24"/>
                <w:szCs w:val="24"/>
                <w:vertAlign w:val="baseline"/>
                <w:lang w:val="en-US" w:eastAsia="zh-CN"/>
              </w:rPr>
            </w:pPr>
            <w:r>
              <w:rPr>
                <w:rFonts w:hint="eastAsia"/>
                <w:sz w:val="24"/>
                <w:szCs w:val="24"/>
                <w:vertAlign w:val="baseline"/>
                <w:lang w:val="en-US" w:eastAsia="zh-CN"/>
              </w:rPr>
              <w:t>本项目运营期间产生的</w:t>
            </w:r>
            <w:r>
              <w:rPr>
                <w:rFonts w:hint="eastAsia" w:hAnsi="宋体" w:cs="宋体"/>
                <w:sz w:val="24"/>
                <w:szCs w:val="24"/>
                <w:vertAlign w:val="baseline"/>
                <w:lang w:val="en-US" w:eastAsia="zh-CN"/>
              </w:rPr>
              <w:t>不合格的成型产品回用于生产；隔油沉淀池收集的废油脂定期委托具有</w:t>
            </w:r>
            <w:r>
              <w:rPr>
                <w:rFonts w:hint="eastAsia" w:hAnsi="宋体" w:cs="宋体"/>
                <w:sz w:val="24"/>
                <w:szCs w:val="24"/>
                <w:highlight w:val="none"/>
                <w:vertAlign w:val="baseline"/>
                <w:lang w:val="en-US" w:eastAsia="zh-CN"/>
              </w:rPr>
              <w:t>回收资质的单位合肥美巢环保服务有限公司进行处置；吸尘器</w:t>
            </w:r>
            <w:r>
              <w:rPr>
                <w:rFonts w:hint="eastAsia" w:hAnsi="宋体" w:cs="宋体"/>
                <w:sz w:val="24"/>
                <w:szCs w:val="24"/>
                <w:vertAlign w:val="baseline"/>
                <w:lang w:val="en-US" w:eastAsia="zh-CN"/>
              </w:rPr>
              <w:t>收集粉尘、废料废渣（鸡蛋壳等）园区环卫工人统一处理，废原料包装物等外售综合利用。不会对环境造成影响。</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200"/>
              <w:jc w:val="both"/>
              <w:textAlignment w:val="auto"/>
              <w:rPr>
                <w:rFonts w:hint="eastAsia" w:hAnsi="宋体" w:cs="宋体"/>
                <w:sz w:val="24"/>
                <w:szCs w:val="24"/>
                <w:vertAlign w:val="baseline"/>
                <w:lang w:val="en-US" w:eastAsia="zh-CN"/>
              </w:rPr>
            </w:pPr>
            <w:r>
              <w:rPr>
                <w:rFonts w:hint="eastAsia" w:hAnsi="宋体" w:cs="宋体"/>
                <w:sz w:val="24"/>
                <w:szCs w:val="24"/>
                <w:vertAlign w:val="baseline"/>
                <w:lang w:val="en-US" w:eastAsia="zh-CN"/>
              </w:rPr>
              <w:t>（3）验收结论</w:t>
            </w:r>
          </w:p>
          <w:p>
            <w:pPr>
              <w:pStyle w:val="2"/>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0" w:firstLineChars="200"/>
              <w:jc w:val="both"/>
              <w:textAlignment w:val="auto"/>
              <w:rPr>
                <w:rFonts w:hint="default" w:hAnsi="宋体" w:cs="宋体"/>
                <w:sz w:val="24"/>
                <w:szCs w:val="24"/>
                <w:vertAlign w:val="baseline"/>
                <w:lang w:val="en-US" w:eastAsia="zh-CN"/>
              </w:rPr>
            </w:pPr>
            <w:r>
              <w:rPr>
                <w:rFonts w:hint="eastAsia" w:hAnsi="宋体" w:cs="宋体"/>
                <w:sz w:val="24"/>
                <w:szCs w:val="24"/>
                <w:vertAlign w:val="baseline"/>
                <w:lang w:val="en-US" w:eastAsia="zh-CN"/>
              </w:rPr>
              <w:t xml:space="preserve">项目环境保护“三同时”措施已基本落实，根据现场核查及验收监测，废气、废水、噪声均可达标排放，满足阶段性竣工环境保护验收条件。 </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cs="Times New Roman"/>
                <w:b w:val="0"/>
                <w:bCs w:val="0"/>
                <w:sz w:val="24"/>
                <w:szCs w:val="24"/>
                <w:vertAlign w:val="baseline"/>
                <w:lang w:val="en-US" w:eastAsia="zh-CN"/>
              </w:rPr>
            </w:pPr>
            <w:r>
              <w:rPr>
                <w:rFonts w:hint="default" w:ascii="Times New Roman" w:hAnsi="Times New Roman" w:cs="Times New Roman"/>
                <w:b w:val="0"/>
                <w:bCs w:val="0"/>
                <w:sz w:val="24"/>
                <w:szCs w:val="24"/>
                <w:vertAlign w:val="baseline"/>
                <w:lang w:val="en-US" w:eastAsia="zh-CN"/>
              </w:rPr>
              <w:t xml:space="preserve"> 综上所述，本项目已按照《安徽丰十味食品有限公司年产3000吨蛋挞半成品项目环境影响报告表》中“三同时”验收一览表的相关内容进行建设，同时做到达标排放，建议《安徽丰十味食品有限公司年产3000吨蛋挞半成品项目阶段性竣工环境保护验收报告表》给予通过</w:t>
            </w:r>
            <w:r>
              <w:rPr>
                <w:rFonts w:hint="eastAsia" w:ascii="Times New Roman" w:hAnsi="Times New Roman" w:cs="Times New Roman"/>
                <w:b w:val="0"/>
                <w:bCs w:val="0"/>
                <w:sz w:val="24"/>
                <w:szCs w:val="24"/>
                <w:vertAlign w:val="baseline"/>
                <w:lang w:val="en-US" w:eastAsia="zh-CN"/>
              </w:rPr>
              <w:t>。</w:t>
            </w:r>
          </w:p>
          <w:p>
            <w:pPr>
              <w:pStyle w:val="2"/>
              <w:numPr>
                <w:ilvl w:val="0"/>
                <w:numId w:val="0"/>
              </w:numPr>
              <w:ind w:leftChars="0"/>
              <w:jc w:val="both"/>
              <w:rPr>
                <w:rFonts w:hint="eastAsia"/>
                <w:b/>
                <w:bCs/>
                <w:sz w:val="24"/>
                <w:szCs w:val="24"/>
                <w:vertAlign w:val="baseline"/>
                <w:lang w:val="en-US" w:eastAsia="zh-CN"/>
              </w:rPr>
            </w:pPr>
            <w:r>
              <w:rPr>
                <w:rFonts w:hint="eastAsia"/>
                <w:b/>
                <w:bCs/>
                <w:sz w:val="24"/>
                <w:szCs w:val="24"/>
                <w:vertAlign w:val="baseline"/>
                <w:lang w:val="en-US" w:eastAsia="zh-CN"/>
              </w:rPr>
              <w:t>2、要求与建议</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（1）建立污染处理设施运行管理制度，加强车间密封，减少废气无组织排放，确保设备运行正常，污染物稳定排放。</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eastAsia"/>
                <w:b w:val="0"/>
                <w:bCs w:val="0"/>
                <w:sz w:val="24"/>
                <w:szCs w:val="24"/>
                <w:vertAlign w:val="baseline"/>
                <w:lang w:val="en-US" w:eastAsia="zh-CN"/>
              </w:rPr>
            </w:pPr>
            <w:r>
              <w:rPr>
                <w:rFonts w:hint="eastAsia"/>
                <w:b w:val="0"/>
                <w:bCs w:val="0"/>
                <w:sz w:val="24"/>
                <w:szCs w:val="24"/>
                <w:vertAlign w:val="baseline"/>
                <w:lang w:val="en-US" w:eastAsia="zh-CN"/>
              </w:rPr>
              <w:t>（2）加强厂区环境保洁，规范厂区内原料、产品的堆放、贮存和运输等环节，定期清扫和洒水，减少地面扬尘。</w:t>
            </w:r>
          </w:p>
          <w:p>
            <w:pPr>
              <w:pStyle w:val="2"/>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b w:val="0"/>
                <w:bCs w:val="0"/>
                <w:sz w:val="24"/>
                <w:szCs w:val="24"/>
                <w:vertAlign w:val="baseline"/>
                <w:lang w:val="en-US" w:eastAsia="zh-CN"/>
              </w:rPr>
            </w:pPr>
            <w:r>
              <w:rPr>
                <w:rFonts w:hint="eastAsia"/>
                <w:b w:val="0"/>
                <w:bCs w:val="0"/>
                <w:sz w:val="24"/>
                <w:szCs w:val="24"/>
                <w:vertAlign w:val="baseline"/>
                <w:lang w:val="en-US" w:eastAsia="zh-CN"/>
              </w:rPr>
              <w:t>（3）按照环境管理要求，制定自行监测方案，定期开展监测。</w:t>
            </w:r>
          </w:p>
          <w:p>
            <w:pPr>
              <w:pStyle w:val="2"/>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r>
              <w:rPr>
                <w:rFonts w:hint="eastAsia"/>
                <w:b/>
                <w:bCs/>
                <w:sz w:val="24"/>
                <w:szCs w:val="24"/>
                <w:vertAlign w:val="baseline"/>
                <w:lang w:val="en-US" w:eastAsia="zh-CN"/>
              </w:rPr>
              <w:t xml:space="preserve"> </w:t>
            </w: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p>
            <w:pPr>
              <w:pStyle w:val="2"/>
              <w:jc w:val="both"/>
              <w:rPr>
                <w:rFonts w:hint="default"/>
                <w:b/>
                <w:bCs/>
                <w:sz w:val="24"/>
                <w:szCs w:val="24"/>
                <w:vertAlign w:val="baseline"/>
                <w:lang w:val="en-US" w:eastAsia="zh-CN"/>
              </w:rPr>
            </w:pPr>
          </w:p>
        </w:tc>
      </w:tr>
    </w:tbl>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rPr>
          <w:rFonts w:hint="default"/>
          <w:b/>
          <w:bCs/>
          <w:sz w:val="28"/>
          <w:szCs w:val="28"/>
          <w:lang w:val="en-US" w:eastAsia="zh-CN"/>
        </w:rPr>
      </w:pPr>
    </w:p>
    <w:p>
      <w:pPr>
        <w:pStyle w:val="2"/>
        <w:jc w:val="center"/>
        <w:rPr>
          <w:rFonts w:hint="eastAsia"/>
          <w:b/>
          <w:bCs/>
          <w:sz w:val="72"/>
          <w:szCs w:val="72"/>
          <w:lang w:val="en-US" w:eastAsia="zh-CN"/>
        </w:rPr>
      </w:pPr>
      <w:r>
        <w:rPr>
          <w:rFonts w:hint="eastAsia"/>
          <w:b/>
          <w:bCs/>
          <w:sz w:val="72"/>
          <w:szCs w:val="72"/>
          <w:lang w:val="en-US" w:eastAsia="zh-CN"/>
        </w:rPr>
        <w:t>第二部分</w:t>
      </w:r>
    </w:p>
    <w:p>
      <w:pPr>
        <w:pStyle w:val="2"/>
        <w:jc w:val="center"/>
        <w:rPr>
          <w:rFonts w:hint="eastAsia"/>
          <w:b/>
          <w:bCs/>
          <w:sz w:val="72"/>
          <w:szCs w:val="72"/>
          <w:lang w:val="en-US" w:eastAsia="zh-CN"/>
        </w:rPr>
      </w:pPr>
    </w:p>
    <w:p>
      <w:pPr>
        <w:pStyle w:val="2"/>
        <w:jc w:val="center"/>
        <w:rPr>
          <w:rFonts w:hint="eastAsia"/>
          <w:b/>
          <w:bCs/>
          <w:sz w:val="72"/>
          <w:szCs w:val="72"/>
          <w:lang w:val="en-US" w:eastAsia="zh-CN"/>
        </w:rPr>
      </w:pPr>
      <w:r>
        <w:rPr>
          <w:rFonts w:hint="eastAsia"/>
          <w:b/>
          <w:bCs/>
          <w:sz w:val="72"/>
          <w:szCs w:val="72"/>
          <w:lang w:val="en-US" w:eastAsia="zh-CN"/>
        </w:rPr>
        <w:t>验收意见</w:t>
      </w:r>
    </w:p>
    <w:p>
      <w:pPr>
        <w:pStyle w:val="2"/>
        <w:jc w:val="center"/>
        <w:rPr>
          <w:rFonts w:hint="eastAsia"/>
          <w:b/>
          <w:bCs/>
          <w:sz w:val="72"/>
          <w:szCs w:val="72"/>
          <w:lang w:val="en-US" w:eastAsia="zh-CN"/>
        </w:rPr>
      </w:pPr>
    </w:p>
    <w:p>
      <w:pPr>
        <w:pStyle w:val="2"/>
        <w:jc w:val="center"/>
        <w:rPr>
          <w:rFonts w:hint="eastAsia"/>
          <w:b/>
          <w:bCs/>
          <w:sz w:val="72"/>
          <w:szCs w:val="72"/>
          <w:lang w:val="en-US" w:eastAsia="zh-CN"/>
        </w:rPr>
      </w:pPr>
    </w:p>
    <w:p>
      <w:pPr>
        <w:pStyle w:val="2"/>
        <w:jc w:val="center"/>
        <w:rPr>
          <w:rFonts w:hint="eastAsia"/>
          <w:b/>
          <w:bCs/>
          <w:sz w:val="72"/>
          <w:szCs w:val="72"/>
          <w:lang w:val="en-US" w:eastAsia="zh-CN"/>
        </w:rPr>
      </w:pPr>
    </w:p>
    <w:p>
      <w:pPr>
        <w:pStyle w:val="2"/>
        <w:jc w:val="center"/>
        <w:rPr>
          <w:rFonts w:hint="eastAsia"/>
          <w:b/>
          <w:bCs/>
          <w:sz w:val="72"/>
          <w:szCs w:val="72"/>
          <w:lang w:val="en-US" w:eastAsia="zh-CN"/>
        </w:rPr>
      </w:pPr>
    </w:p>
    <w:p>
      <w:pPr>
        <w:pStyle w:val="2"/>
        <w:jc w:val="center"/>
        <w:rPr>
          <w:rFonts w:hint="eastAsia"/>
          <w:b/>
          <w:bCs/>
          <w:sz w:val="72"/>
          <w:szCs w:val="72"/>
          <w:lang w:val="en-US" w:eastAsia="zh-CN"/>
        </w:rPr>
      </w:pPr>
    </w:p>
    <w:p>
      <w:pPr>
        <w:pStyle w:val="2"/>
        <w:jc w:val="both"/>
        <w:rPr>
          <w:rFonts w:hint="eastAsia"/>
          <w:b/>
          <w:bCs/>
          <w:sz w:val="72"/>
          <w:szCs w:val="72"/>
          <w:lang w:val="en-US" w:eastAsia="zh-CN"/>
        </w:rPr>
      </w:pPr>
    </w:p>
    <w:p>
      <w:pPr>
        <w:pStyle w:val="2"/>
        <w:jc w:val="both"/>
        <w:rPr>
          <w:rFonts w:hint="default"/>
          <w:b/>
          <w:bCs/>
          <w:sz w:val="24"/>
          <w:szCs w:val="24"/>
          <w:lang w:val="en-US" w:eastAsia="zh-CN"/>
        </w:rPr>
      </w:pPr>
    </w:p>
    <w:p>
      <w:pPr>
        <w:pStyle w:val="16"/>
        <w:spacing w:before="0" w:beforeAutospacing="0" w:after="0" w:afterAutospacing="0" w:line="360" w:lineRule="auto"/>
        <w:jc w:val="center"/>
        <w:outlineLvl w:val="0"/>
        <w:rPr>
          <w:rFonts w:hint="eastAsia" w:cs="黑体"/>
          <w:b/>
          <w:kern w:val="2"/>
          <w:sz w:val="28"/>
          <w:szCs w:val="28"/>
        </w:rPr>
      </w:pPr>
      <w:bookmarkStart w:id="24" w:name="_Hlk62031421"/>
      <w:r>
        <w:rPr>
          <w:rFonts w:hint="eastAsia" w:cs="黑体"/>
          <w:b/>
          <w:kern w:val="2"/>
          <w:sz w:val="28"/>
          <w:szCs w:val="28"/>
        </w:rPr>
        <w:t>安徽丰十味食品有限公司年产3000吨蛋挞半成品项目</w:t>
      </w:r>
    </w:p>
    <w:p>
      <w:pPr>
        <w:pStyle w:val="16"/>
        <w:spacing w:before="0" w:beforeAutospacing="0" w:after="0" w:afterAutospacing="0" w:line="440" w:lineRule="exact"/>
        <w:jc w:val="center"/>
        <w:outlineLvl w:val="0"/>
        <w:rPr>
          <w:rFonts w:cs="黑体"/>
          <w:b/>
          <w:kern w:val="2"/>
          <w:sz w:val="28"/>
          <w:szCs w:val="28"/>
        </w:rPr>
      </w:pPr>
      <w:r>
        <w:rPr>
          <w:rFonts w:hint="eastAsia" w:cs="黑体"/>
          <w:b/>
          <w:kern w:val="2"/>
          <w:sz w:val="28"/>
          <w:szCs w:val="28"/>
        </w:rPr>
        <w:t>阶段性</w:t>
      </w:r>
      <w:r>
        <w:rPr>
          <w:rFonts w:cs="黑体"/>
          <w:b/>
          <w:kern w:val="2"/>
          <w:sz w:val="28"/>
          <w:szCs w:val="28"/>
        </w:rPr>
        <w:t>竣工环境保护验收</w:t>
      </w:r>
      <w:bookmarkEnd w:id="24"/>
      <w:r>
        <w:rPr>
          <w:rFonts w:hint="eastAsia" w:cs="黑体"/>
          <w:b/>
          <w:kern w:val="2"/>
          <w:sz w:val="28"/>
          <w:szCs w:val="28"/>
        </w:rPr>
        <w:t>专家组意见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szCs w:val="24"/>
        </w:rPr>
      </w:pPr>
      <w:r>
        <w:rPr>
          <w:rFonts w:ascii="宋体" w:hAnsi="宋体"/>
          <w:sz w:val="24"/>
          <w:szCs w:val="24"/>
        </w:rPr>
        <w:t>2021年</w:t>
      </w:r>
      <w:r>
        <w:rPr>
          <w:rFonts w:hint="eastAsia" w:ascii="宋体" w:hAnsi="宋体"/>
          <w:sz w:val="24"/>
          <w:szCs w:val="24"/>
        </w:rPr>
        <w:t>7</w:t>
      </w:r>
      <w:r>
        <w:rPr>
          <w:rFonts w:ascii="宋体" w:hAnsi="宋体"/>
          <w:sz w:val="24"/>
          <w:szCs w:val="24"/>
        </w:rPr>
        <w:t>月</w:t>
      </w:r>
      <w:r>
        <w:rPr>
          <w:rFonts w:hint="eastAsia" w:ascii="宋体" w:hAnsi="宋体"/>
          <w:sz w:val="24"/>
          <w:szCs w:val="24"/>
        </w:rPr>
        <w:t>31</w:t>
      </w:r>
      <w:r>
        <w:rPr>
          <w:rFonts w:ascii="宋体" w:hAnsi="宋体"/>
          <w:sz w:val="24"/>
          <w:szCs w:val="24"/>
        </w:rPr>
        <w:t>日，</w:t>
      </w:r>
      <w:r>
        <w:rPr>
          <w:rFonts w:hint="eastAsia" w:ascii="宋体" w:hAnsi="宋体"/>
          <w:sz w:val="24"/>
          <w:szCs w:val="24"/>
        </w:rPr>
        <w:t>安徽丰十味食品有限公司依据《建设项目竣工环境保护验收暂行办法》和《建设项目竣工环境保护验收技术指南 污染影响类》等有关规定要求，依照国家有关法律法规、建设项目竣工环境保护验收技术规范、项目环境影响报告表及批复要求等对本项目进行验收；参加会议的有巢湖市亚庆环保科技有限公司东塘路分公司（验收报告表编制单位）等代表共7人，会议邀请三位专家组成专家组，经现场查看并听取验收监测报告表编制单位的内容汇报后，提出专家组意见如下：</w:t>
      </w:r>
    </w:p>
    <w:p>
      <w:pPr>
        <w:pStyle w:val="8"/>
        <w:numPr>
          <w:ilvl w:val="0"/>
          <w:numId w:val="11"/>
        </w:numPr>
        <w:rPr>
          <w:rFonts w:hint="eastAsia" w:ascii="宋体" w:hAnsi="宋体"/>
          <w:b/>
          <w:bCs/>
          <w:sz w:val="28"/>
          <w:szCs w:val="28"/>
          <w:lang w:eastAsia="zh-CN"/>
        </w:rPr>
      </w:pPr>
      <w:r>
        <w:rPr>
          <w:rFonts w:hint="eastAsia" w:ascii="宋体" w:hAnsi="宋体"/>
          <w:b/>
          <w:bCs/>
          <w:sz w:val="28"/>
          <w:szCs w:val="28"/>
          <w:lang w:eastAsia="zh-CN"/>
        </w:rPr>
        <w:t>工程建设基本情况</w:t>
      </w:r>
    </w:p>
    <w:p>
      <w:pPr>
        <w:pStyle w:val="7"/>
        <w:numPr>
          <w:ilvl w:val="0"/>
          <w:numId w:val="12"/>
        </w:numPr>
        <w:rPr>
          <w:rFonts w:hint="eastAsia"/>
          <w:sz w:val="24"/>
          <w:szCs w:val="24"/>
          <w:lang w:val="en-US" w:eastAsia="zh-CN"/>
        </w:rPr>
      </w:pPr>
      <w:r>
        <w:rPr>
          <w:rFonts w:hint="eastAsia"/>
          <w:sz w:val="24"/>
          <w:szCs w:val="24"/>
          <w:lang w:val="en-US" w:eastAsia="zh-CN"/>
        </w:rPr>
        <w:t>建设地点、规模、主要建设内容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安徽丰十味食品有限公司租赁位于巢湖市安徽居巢经开区安成路与前进路交叉口标准化厂房7号楼3楼西侧，项目总建筑面积809.5㎡，配套建设了生产车间、原材料库、办公室、冷冻库等。预计建成年产3000吨蛋挞半成品。</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（二）建设过程及环保审批情况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2020年5月6日巢湖市发展改革委给予备案立项，备案号：2020-340181-14-03-18644；2020年5月编制完成了《关于安徽丰十味食品有限公司年产3000吨蛋挞半成品项目环境影响报告表》 ，2020年8月18日，巢湖市环保局以巢环审</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2020</w:t>
      </w:r>
      <w:r>
        <w:rPr>
          <w:rFonts w:hint="default"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60号文对此项目进行了批复。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（三）</w:t>
      </w:r>
      <w:r>
        <w:rPr>
          <w:rFonts w:hint="default" w:ascii="Times New Roman" w:hAnsi="Times New Roman" w:cs="Times New Roman"/>
          <w:sz w:val="24"/>
          <w:szCs w:val="24"/>
          <w:lang w:val="en-US" w:eastAsia="zh-CN"/>
        </w:rPr>
        <w:t>投资情况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本项目实际投资</w:t>
      </w:r>
      <w:r>
        <w:rPr>
          <w:rFonts w:hint="eastAsia" w:ascii="Times New Roman" w:hAnsi="Times New Roman" w:cs="Times New Roman"/>
          <w:sz w:val="24"/>
          <w:szCs w:val="24"/>
          <w:lang w:val="en-US" w:eastAsia="zh-CN"/>
        </w:rPr>
        <w:t>160</w:t>
      </w:r>
      <w:r>
        <w:rPr>
          <w:rFonts w:hint="default" w:ascii="Times New Roman" w:hAnsi="Times New Roman" w:cs="Times New Roman"/>
          <w:sz w:val="24"/>
          <w:szCs w:val="24"/>
          <w:lang w:val="en-US" w:eastAsia="zh-CN"/>
        </w:rPr>
        <w:t>万元，其中环保投资</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val="en-US" w:eastAsia="zh-CN"/>
        </w:rPr>
        <w:t>万元。</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w:t>
      </w:r>
      <w:r>
        <w:rPr>
          <w:rFonts w:hint="eastAsia" w:ascii="Times New Roman" w:hAnsi="Times New Roman" w:cs="Times New Roman"/>
          <w:sz w:val="24"/>
          <w:szCs w:val="24"/>
          <w:lang w:val="en-US" w:eastAsia="zh-CN"/>
        </w:rPr>
        <w:t>四</w:t>
      </w:r>
      <w:r>
        <w:rPr>
          <w:rFonts w:hint="default" w:ascii="Times New Roman" w:hAnsi="Times New Roman" w:cs="Times New Roman"/>
          <w:sz w:val="24"/>
          <w:szCs w:val="24"/>
          <w:lang w:val="en-US" w:eastAsia="zh-CN"/>
        </w:rPr>
        <w:t>）验收范围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本次验收范围为安徽丰十味食品有限公司蛋挞皮、蛋挞液，建筑面积为809.5㎡。</w:t>
      </w:r>
    </w:p>
    <w:p>
      <w:pPr>
        <w:pStyle w:val="8"/>
        <w:numPr>
          <w:ilvl w:val="0"/>
          <w:numId w:val="11"/>
        </w:numPr>
        <w:rPr>
          <w:rFonts w:hint="default" w:ascii="宋体" w:hAnsi="宋体"/>
          <w:b/>
          <w:bCs/>
          <w:sz w:val="28"/>
          <w:szCs w:val="28"/>
          <w:lang w:val="en-US" w:eastAsia="zh-CN"/>
        </w:rPr>
      </w:pPr>
      <w:r>
        <w:rPr>
          <w:rFonts w:hint="default" w:ascii="宋体" w:hAnsi="宋体"/>
          <w:b/>
          <w:bCs/>
          <w:sz w:val="28"/>
          <w:szCs w:val="28"/>
          <w:lang w:val="en-US" w:eastAsia="zh-CN"/>
        </w:rPr>
        <w:t>工程变动情况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对该建设项目变动情况及环境影响进行核实，该项目的企业名称、地点、工艺流程、主体建设内容均与环评一致，本项目此次验收只针对蛋挞皮、蛋挞液，因此该项目不存在重大变动、符合阶段性验收条件。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三</w:t>
      </w:r>
      <w:r>
        <w:rPr>
          <w:rFonts w:hint="eastAsia" w:ascii="宋体" w:hAnsi="宋体" w:eastAsia="宋体" w:cs="宋体"/>
          <w:b/>
          <w:bCs/>
          <w:kern w:val="2"/>
          <w:sz w:val="28"/>
          <w:szCs w:val="28"/>
          <w:lang w:val="en-US" w:eastAsia="zh-CN" w:bidi="zh-CN"/>
        </w:rPr>
        <w:t>、环境保护设施建设情况及环境保护设施调试结果</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（一）废气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产生的废气为和面搅拌时产生的粉尘颗粒物，作无组织排放，厂区配备工业吸尘器一个。监测结果表明，项目无组织废气颗粒物满足《大气污染物综合排放标准》（GB16297-1996）中表2无组织排放监控浓度限值</w:t>
      </w:r>
    </w:p>
    <w:p>
      <w:pPr>
        <w:numPr>
          <w:ilvl w:val="0"/>
          <w:numId w:val="0"/>
        </w:numPr>
        <w:rPr>
          <w:rFonts w:hint="eastAsia"/>
          <w:sz w:val="24"/>
          <w:szCs w:val="24"/>
          <w:lang w:val="en-US" w:eastAsia="zh-CN"/>
        </w:rPr>
      </w:pPr>
      <w:r>
        <w:rPr>
          <w:rFonts w:hint="eastAsia"/>
          <w:sz w:val="24"/>
          <w:szCs w:val="24"/>
          <w:lang w:val="en-US" w:eastAsia="zh-CN"/>
        </w:rPr>
        <w:t>（二）废水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本项目营运期间用水主要为设备清洗用水、鸡蛋清洗用水、产品用水、设备清洗用水、地面清洁用水和员工生活用水。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设备清洗废水、鸡蛋清洗废水、地面清洁废水、鸡蛋清洗废水均通过隔油沉淀池后与员工生活废水经化粪池预处理后连接到园区污水管网。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（三）噪声</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本项目运营期间的噪声污染源主要为设备噪声（搅拌机、和面机）。厂界区域噪声通过设减震基座、加强管理、等措施减少噪声对周围环境的影响。</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（四）固体废物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运营后主要的固体废物为不合格产品、废料废渣（鸡蛋壳）、废原辅材料包装、员工生活垃圾、废油脂、吸尘器收集的粉尘。不合格产品回用于生产，废料废渣（加蛋壳）、吸尘器收集粉尘、员工生活垃圾收集后交由园区环卫工人统一处理。废油脂定期委托有资质单位处理；以上处置可避免对环境造成的影响。</w:t>
      </w:r>
    </w:p>
    <w:p>
      <w:pPr>
        <w:pStyle w:val="8"/>
        <w:numPr>
          <w:ilvl w:val="0"/>
          <w:numId w:val="11"/>
        </w:numPr>
        <w:rPr>
          <w:rFonts w:hint="eastAsia" w:ascii="宋体" w:hAnsi="宋体"/>
          <w:b/>
          <w:bCs/>
          <w:sz w:val="28"/>
          <w:szCs w:val="28"/>
          <w:lang w:val="en-US" w:eastAsia="zh-CN"/>
        </w:rPr>
      </w:pPr>
      <w:r>
        <w:rPr>
          <w:rFonts w:hint="eastAsia"/>
          <w:b/>
          <w:bCs/>
          <w:sz w:val="28"/>
          <w:szCs w:val="28"/>
          <w:lang w:val="en-US" w:eastAsia="zh-CN"/>
        </w:rPr>
        <w:t>工程建设对环境的影响</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default" w:ascii="Times New Roman" w:hAnsi="Times New Roman" w:cs="Times New Roman"/>
          <w:b w:val="0"/>
          <w:bCs w:val="0"/>
          <w:sz w:val="24"/>
          <w:szCs w:val="24"/>
          <w:lang w:val="en-US" w:eastAsia="zh-CN"/>
        </w:rPr>
        <w:t>根据监测结果表明：项目周边环境空气、地表水及环境噪声达到验收执行标准。</w:t>
      </w:r>
    </w:p>
    <w:p>
      <w:pPr>
        <w:pStyle w:val="8"/>
        <w:numPr>
          <w:ilvl w:val="0"/>
          <w:numId w:val="11"/>
        </w:numPr>
        <w:rPr>
          <w:rFonts w:hint="eastAsia" w:ascii="宋体" w:hAnsi="宋体"/>
          <w:b/>
          <w:bCs/>
          <w:sz w:val="28"/>
          <w:szCs w:val="28"/>
          <w:lang w:val="en-US" w:eastAsia="zh-CN"/>
        </w:rPr>
      </w:pPr>
      <w:r>
        <w:rPr>
          <w:rFonts w:hint="eastAsia" w:ascii="宋体" w:hAnsi="宋体"/>
          <w:b/>
          <w:bCs/>
          <w:sz w:val="28"/>
          <w:szCs w:val="28"/>
          <w:lang w:val="en-US" w:eastAsia="zh-CN"/>
        </w:rPr>
        <w:t>验收结论</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sz w:val="24"/>
          <w:szCs w:val="24"/>
          <w:lang w:val="en-US" w:eastAsia="zh-CN"/>
        </w:rPr>
      </w:pPr>
      <w:r>
        <w:rPr>
          <w:rFonts w:hint="eastAsia"/>
          <w:sz w:val="24"/>
          <w:szCs w:val="24"/>
          <w:lang w:val="en-US" w:eastAsia="zh-CN"/>
        </w:rPr>
        <w:t>安徽丰十味食品有限公司年产3000吨蛋挞半成品项目执行了环境影响评价制度、环境保护审查、审批手续完备，基本按照环评文件及批复的要求落实了污染防治措施，采取的污染防治措施效果良好，各类污染物达标排放，符合竣工环境保护验收要求。因此安徽丰十味食品有限公司年产3000吨蛋挞半成品项目阶段性竣工环境保护验收合格。</w:t>
      </w:r>
    </w:p>
    <w:p>
      <w:pPr>
        <w:pStyle w:val="8"/>
        <w:numPr>
          <w:ilvl w:val="0"/>
          <w:numId w:val="11"/>
        </w:numPr>
        <w:rPr>
          <w:rFonts w:hint="eastAsia" w:ascii="宋体" w:hAnsi="宋体"/>
          <w:b/>
          <w:bCs/>
          <w:sz w:val="28"/>
          <w:szCs w:val="28"/>
          <w:lang w:val="en-US" w:eastAsia="zh-CN"/>
        </w:rPr>
      </w:pPr>
      <w:r>
        <w:rPr>
          <w:rFonts w:hint="eastAsia" w:ascii="宋体" w:hAnsi="宋体"/>
          <w:b/>
          <w:bCs/>
          <w:sz w:val="28"/>
          <w:szCs w:val="28"/>
          <w:lang w:val="en-US" w:eastAsia="zh-CN"/>
        </w:rPr>
        <w:t>公司承诺</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w:t>
      </w:r>
      <w:r>
        <w:rPr>
          <w:rFonts w:hint="eastAsia" w:ascii="Times New Roman" w:hAnsi="Times New Roman" w:cs="Times New Roman"/>
          <w:sz w:val="24"/>
          <w:szCs w:val="24"/>
          <w:lang w:val="en-US" w:eastAsia="zh-CN"/>
        </w:rPr>
        <w:t>加强厂区环境管理</w:t>
      </w:r>
      <w:r>
        <w:rPr>
          <w:rFonts w:hint="default" w:ascii="Times New Roman" w:hAnsi="Times New Roman" w:cs="Times New Roman"/>
          <w:sz w:val="24"/>
          <w:szCs w:val="24"/>
          <w:lang w:val="en-US" w:eastAsia="zh-CN"/>
        </w:rPr>
        <w:t>。规范一般固废场所建设，加强固废的环境管理。</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2、应定期维护污染防治设施，确保正常运行。制定运行维护制度，并做好记录。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附：1.参会人员签到表；</w:t>
      </w:r>
    </w:p>
    <w:p>
      <w:pPr>
        <w:pStyle w:val="8"/>
        <w:keepNext w:val="0"/>
        <w:keepLines w:val="0"/>
        <w:pageBreakBefore w:val="0"/>
        <w:widowControl w:val="0"/>
        <w:numPr>
          <w:ilvl w:val="0"/>
          <w:numId w:val="13"/>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建设项目</w:t>
      </w:r>
      <w:r>
        <w:rPr>
          <w:rFonts w:hint="eastAsia" w:ascii="Times New Roman" w:hAnsi="Times New Roman" w:cs="Times New Roman"/>
          <w:sz w:val="24"/>
          <w:szCs w:val="24"/>
          <w:lang w:val="en-US" w:eastAsia="zh-CN"/>
        </w:rPr>
        <w:t>阶段性</w:t>
      </w:r>
      <w:r>
        <w:rPr>
          <w:rFonts w:hint="default" w:ascii="Times New Roman" w:hAnsi="Times New Roman" w:cs="Times New Roman"/>
          <w:sz w:val="24"/>
          <w:szCs w:val="24"/>
          <w:lang w:val="en-US" w:eastAsia="zh-CN"/>
        </w:rPr>
        <w:t>竣工环境保护验收监测报告。</w:t>
      </w:r>
    </w:p>
    <w:p>
      <w:pPr>
        <w:pStyle w:val="7"/>
        <w:numPr>
          <w:ilvl w:val="0"/>
          <w:numId w:val="0"/>
        </w:numPr>
        <w:rPr>
          <w:rFonts w:hint="eastAsia"/>
          <w:lang w:val="en-US" w:eastAsia="zh-CN"/>
        </w:rPr>
      </w:pPr>
      <w:r>
        <w:rPr>
          <w:rFonts w:hint="eastAsia"/>
          <w:lang w:val="en-US" w:eastAsia="zh-CN"/>
        </w:rPr>
        <w:t xml:space="preserve">                                                      </w:t>
      </w:r>
    </w:p>
    <w:p>
      <w:pPr>
        <w:pStyle w:val="7"/>
        <w:numPr>
          <w:ilvl w:val="0"/>
          <w:numId w:val="0"/>
        </w:numPr>
        <w:rPr>
          <w:rFonts w:hint="eastAsia"/>
          <w:lang w:val="en-US" w:eastAsia="zh-CN"/>
        </w:rPr>
      </w:pPr>
    </w:p>
    <w:p>
      <w:pPr>
        <w:pStyle w:val="7"/>
        <w:numPr>
          <w:ilvl w:val="0"/>
          <w:numId w:val="0"/>
        </w:numPr>
        <w:rPr>
          <w:rFonts w:hint="eastAsia"/>
          <w:lang w:val="en-US" w:eastAsia="zh-CN"/>
        </w:rPr>
      </w:pPr>
    </w:p>
    <w:p>
      <w:pPr>
        <w:pStyle w:val="7"/>
        <w:numPr>
          <w:ilvl w:val="0"/>
          <w:numId w:val="0"/>
        </w:numPr>
        <w:rPr>
          <w:rFonts w:hint="eastAsia"/>
          <w:lang w:val="en-US" w:eastAsia="zh-CN"/>
        </w:rPr>
      </w:pP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250" w:firstLineChars="2500"/>
        <w:textAlignment w:val="auto"/>
        <w:rPr>
          <w:rFonts w:hint="eastAsia"/>
          <w:sz w:val="24"/>
          <w:szCs w:val="24"/>
          <w:lang w:val="en-US" w:eastAsia="zh-CN"/>
        </w:rPr>
      </w:pPr>
      <w:r>
        <w:rPr>
          <w:rFonts w:hint="eastAsia"/>
          <w:lang w:val="en-US" w:eastAsia="zh-CN"/>
        </w:rPr>
        <w:t xml:space="preserve">  </w:t>
      </w:r>
      <w:r>
        <w:rPr>
          <w:rFonts w:hint="eastAsia"/>
          <w:sz w:val="24"/>
          <w:szCs w:val="24"/>
          <w:lang w:val="en-US" w:eastAsia="zh-CN"/>
        </w:rPr>
        <w:t>安徽丰十味食品有限公司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 xml:space="preserve">                                                 2021年7月31日</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pStyle w:val="7"/>
        <w:rPr>
          <w:rFonts w:hint="eastAsia"/>
          <w:lang w:val="en-US" w:eastAsia="zh-CN"/>
        </w:rPr>
      </w:pPr>
    </w:p>
    <w:p>
      <w:pPr>
        <w:rPr>
          <w:rFonts w:hint="eastAsia"/>
          <w:lang w:val="en-US" w:eastAsia="zh-CN"/>
        </w:rPr>
      </w:pPr>
    </w:p>
    <w:p>
      <w:pPr>
        <w:pStyle w:val="8"/>
        <w:rPr>
          <w:rFonts w:hint="eastAsia"/>
          <w:lang w:val="en-US" w:eastAsia="zh-CN"/>
        </w:rPr>
      </w:pPr>
    </w:p>
    <w:p>
      <w:pPr>
        <w:rPr>
          <w:rFonts w:hint="eastAsia"/>
          <w:lang w:val="en-US" w:eastAsia="zh-CN"/>
        </w:rPr>
      </w:pPr>
    </w:p>
    <w:p>
      <w:pPr>
        <w:pStyle w:val="8"/>
        <w:rPr>
          <w:rFonts w:hint="eastAsia"/>
          <w:lang w:val="en-US" w:eastAsia="zh-CN"/>
        </w:rPr>
      </w:pPr>
    </w:p>
    <w:p>
      <w:pPr>
        <w:rPr>
          <w:rFonts w:hint="eastAsia"/>
          <w:lang w:val="en-US" w:eastAsia="zh-CN"/>
        </w:rPr>
      </w:pPr>
    </w:p>
    <w:p>
      <w:pPr>
        <w:pStyle w:val="8"/>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48"/>
          <w:szCs w:val="48"/>
          <w:lang w:val="en-US" w:eastAsia="zh-CN"/>
        </w:rPr>
      </w:pPr>
      <w:r>
        <w:rPr>
          <w:rFonts w:hint="eastAsia"/>
          <w:b/>
          <w:bCs/>
          <w:sz w:val="48"/>
          <w:szCs w:val="48"/>
          <w:lang w:val="en-US" w:eastAsia="zh-CN"/>
        </w:rPr>
        <w:t>第三部分</w:t>
      </w:r>
    </w:p>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48"/>
          <w:szCs w:val="48"/>
          <w:lang w:val="en-US" w:eastAsia="zh-CN"/>
        </w:rPr>
      </w:pPr>
    </w:p>
    <w:p>
      <w:pPr>
        <w:pStyle w:val="7"/>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48"/>
          <w:szCs w:val="48"/>
          <w:lang w:val="en-US" w:eastAsia="zh-CN"/>
        </w:rPr>
      </w:pPr>
      <w:r>
        <w:rPr>
          <w:rFonts w:hint="eastAsia"/>
          <w:b/>
          <w:bCs/>
          <w:sz w:val="48"/>
          <w:szCs w:val="48"/>
          <w:lang w:val="en-US" w:eastAsia="zh-CN"/>
        </w:rPr>
        <w:t>其他需要说明的事项</w:t>
      </w:r>
    </w:p>
    <w:p>
      <w:pPr>
        <w:rPr>
          <w:rFonts w:hint="eastAsia"/>
          <w:b/>
          <w:bCs/>
          <w:sz w:val="48"/>
          <w:szCs w:val="48"/>
          <w:lang w:val="en-US" w:eastAsia="zh-CN"/>
        </w:rPr>
      </w:pPr>
    </w:p>
    <w:p>
      <w:pPr>
        <w:pStyle w:val="8"/>
        <w:rPr>
          <w:rFonts w:hint="eastAsia"/>
          <w:b/>
          <w:bCs/>
          <w:sz w:val="48"/>
          <w:szCs w:val="48"/>
          <w:lang w:val="en-US" w:eastAsia="zh-CN"/>
        </w:rPr>
      </w:pPr>
    </w:p>
    <w:p>
      <w:pPr>
        <w:pStyle w:val="7"/>
        <w:rPr>
          <w:rFonts w:hint="eastAsia"/>
          <w:b/>
          <w:bCs/>
          <w:sz w:val="48"/>
          <w:szCs w:val="48"/>
          <w:lang w:val="en-US" w:eastAsia="zh-CN"/>
        </w:rPr>
      </w:pPr>
    </w:p>
    <w:p>
      <w:pPr>
        <w:rPr>
          <w:rFonts w:hint="eastAsia"/>
          <w:b/>
          <w:bCs/>
          <w:sz w:val="48"/>
          <w:szCs w:val="48"/>
          <w:lang w:val="en-US" w:eastAsia="zh-CN"/>
        </w:rPr>
      </w:pPr>
    </w:p>
    <w:p>
      <w:pPr>
        <w:pStyle w:val="8"/>
        <w:rPr>
          <w:rFonts w:hint="eastAsia"/>
          <w:b/>
          <w:bCs/>
          <w:sz w:val="48"/>
          <w:szCs w:val="48"/>
          <w:lang w:val="en-US" w:eastAsia="zh-CN"/>
        </w:rPr>
      </w:pPr>
    </w:p>
    <w:p>
      <w:pPr>
        <w:pStyle w:val="7"/>
        <w:rPr>
          <w:rFonts w:hint="eastAsia"/>
          <w:b/>
          <w:bCs/>
          <w:sz w:val="48"/>
          <w:szCs w:val="48"/>
          <w:lang w:val="en-US" w:eastAsia="zh-CN"/>
        </w:rPr>
      </w:pPr>
    </w:p>
    <w:p>
      <w:pPr>
        <w:rPr>
          <w:rFonts w:hint="eastAsia"/>
          <w:b/>
          <w:bCs/>
          <w:sz w:val="48"/>
          <w:szCs w:val="48"/>
          <w:lang w:val="en-US" w:eastAsia="zh-CN"/>
        </w:rPr>
      </w:pPr>
    </w:p>
    <w:p>
      <w:pPr>
        <w:pStyle w:val="8"/>
        <w:rPr>
          <w:rFonts w:hint="eastAsia"/>
          <w:b/>
          <w:bCs/>
          <w:sz w:val="48"/>
          <w:szCs w:val="48"/>
          <w:lang w:val="en-US" w:eastAsia="zh-CN"/>
        </w:rPr>
      </w:pPr>
    </w:p>
    <w:p>
      <w:pPr>
        <w:pStyle w:val="7"/>
        <w:rPr>
          <w:rFonts w:hint="eastAsia"/>
          <w:b/>
          <w:bCs/>
          <w:sz w:val="48"/>
          <w:szCs w:val="48"/>
          <w:lang w:val="en-US" w:eastAsia="zh-CN"/>
        </w:rPr>
      </w:pPr>
    </w:p>
    <w:p>
      <w:pPr>
        <w:rPr>
          <w:rFonts w:hint="eastAsia"/>
          <w:b/>
          <w:bCs/>
          <w:sz w:val="48"/>
          <w:szCs w:val="48"/>
          <w:lang w:val="en-US" w:eastAsia="zh-CN"/>
        </w:rPr>
      </w:pPr>
    </w:p>
    <w:p>
      <w:pPr>
        <w:pStyle w:val="2"/>
        <w:rPr>
          <w:rFonts w:hint="default"/>
          <w:lang w:val="en-US" w:eastAsia="zh-CN"/>
        </w:rPr>
      </w:pPr>
    </w:p>
    <w:p>
      <w:pPr>
        <w:pStyle w:val="2"/>
        <w:rPr>
          <w:rFonts w:hint="default"/>
          <w:lang w:val="en-US" w:eastAsia="zh-CN"/>
        </w:rPr>
      </w:pPr>
    </w:p>
    <w:p>
      <w:pPr>
        <w:pStyle w:val="16"/>
        <w:spacing w:before="0" w:beforeAutospacing="0" w:after="0" w:afterAutospacing="0" w:line="360" w:lineRule="auto"/>
        <w:jc w:val="center"/>
        <w:outlineLvl w:val="0"/>
        <w:rPr>
          <w:rFonts w:hint="eastAsia" w:cs="黑体"/>
          <w:b/>
          <w:kern w:val="2"/>
          <w:sz w:val="28"/>
          <w:szCs w:val="28"/>
        </w:rPr>
      </w:pPr>
      <w:r>
        <w:rPr>
          <w:rFonts w:hint="eastAsia" w:cs="黑体"/>
          <w:b/>
          <w:kern w:val="2"/>
          <w:sz w:val="28"/>
          <w:szCs w:val="28"/>
        </w:rPr>
        <w:t>安徽丰十味食品有限公司年产3000吨蛋挞半成品项目</w:t>
      </w:r>
    </w:p>
    <w:p>
      <w:pPr>
        <w:pStyle w:val="8"/>
        <w:jc w:val="center"/>
        <w:rPr>
          <w:rFonts w:hint="eastAsia" w:cs="黑体"/>
          <w:b/>
          <w:kern w:val="2"/>
          <w:sz w:val="28"/>
          <w:szCs w:val="28"/>
          <w:lang w:eastAsia="zh-CN"/>
        </w:rPr>
      </w:pPr>
      <w:r>
        <w:rPr>
          <w:rFonts w:hint="eastAsia" w:cs="黑体"/>
          <w:b/>
          <w:kern w:val="2"/>
          <w:sz w:val="28"/>
          <w:szCs w:val="28"/>
        </w:rPr>
        <w:t>阶段性</w:t>
      </w:r>
      <w:r>
        <w:rPr>
          <w:rFonts w:cs="黑体"/>
          <w:b/>
          <w:kern w:val="2"/>
          <w:sz w:val="28"/>
          <w:szCs w:val="28"/>
        </w:rPr>
        <w:t>竣工环境保护验收</w:t>
      </w:r>
      <w:r>
        <w:rPr>
          <w:rFonts w:hint="eastAsia" w:cs="黑体"/>
          <w:b/>
          <w:kern w:val="2"/>
          <w:sz w:val="28"/>
          <w:szCs w:val="28"/>
          <w:lang w:eastAsia="zh-CN"/>
        </w:rPr>
        <w:t>其他需要说明的事项</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黑体"/>
          <w:b w:val="0"/>
          <w:bCs/>
          <w:kern w:val="2"/>
          <w:sz w:val="24"/>
          <w:szCs w:val="24"/>
          <w:lang w:eastAsia="zh-CN"/>
        </w:rPr>
      </w:pPr>
      <w:r>
        <w:rPr>
          <w:rFonts w:hint="eastAsia" w:cs="黑体"/>
          <w:b w:val="0"/>
          <w:bCs/>
          <w:kern w:val="2"/>
          <w:sz w:val="24"/>
          <w:szCs w:val="24"/>
          <w:lang w:eastAsia="zh-CN"/>
        </w:rPr>
        <w:t>根据《建设项目环境保护验收暂行办法》“其他需要说明的事项”中应如实记载的内容包括环境保护设施设计、施工和验收过程简况，环境影响报告表及其审批部门审批决定中提出的，除环境保护设施外的其他环境保护措施的落实情况以及整改工作的情况，现将建设单位需要需要说明的具体内容和要求列举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s="黑体"/>
          <w:b/>
          <w:bCs w:val="0"/>
          <w:kern w:val="2"/>
          <w:sz w:val="24"/>
          <w:szCs w:val="24"/>
          <w:lang w:val="en-US" w:eastAsia="zh-CN"/>
        </w:rPr>
      </w:pPr>
      <w:r>
        <w:rPr>
          <w:rFonts w:hint="eastAsia" w:cs="黑体"/>
          <w:b/>
          <w:bCs w:val="0"/>
          <w:kern w:val="2"/>
          <w:sz w:val="24"/>
          <w:szCs w:val="24"/>
          <w:lang w:val="en-US" w:eastAsia="zh-CN"/>
        </w:rPr>
        <w:t>1、环境保护设施设计、施工和验收过程简况</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1.1设计简况</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sz w:val="24"/>
          <w:szCs w:val="24"/>
          <w:lang w:val="en-US" w:eastAsia="zh-CN"/>
        </w:rPr>
        <w:t>建设项目的环境保护设施纳入了初步设计，环境保护设施的设计符合环境保护设计贵发的要求，编制了环境保护篇章，落实了防止污染和生态破坏措施以及环境保护设施投资概算。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1.2施工简况</w:t>
      </w:r>
    </w:p>
    <w:p>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lang w:val="en-US" w:eastAsia="zh-CN"/>
        </w:rPr>
        <w:t>本项目已将环境保护设施纳入了施工合同，环境保护设施的进度和资金得到了保证，项目建设过程中组织试试了环境影响报告表及其审批部门决定提出来的环境保护对策措施。</w:t>
      </w:r>
    </w:p>
    <w:p>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1.3验收过程简况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于2021年3月竣工，巢湖市亚庆环保科技有限责任公司东塘路分公司接受委托对本项目进行阶段性竣工环境保护验收工作。巢湖市亚庆环保科技有限责任公司东塘路分公司技术人员接到委托后对该项目建设、环境保护设施以及污染物排放情况进行了勘查，根据企业提供的资料和实际情况进行了勘察，根据企业提供的资料和实际情况编制了阶段性验收监测方案。2021年7月1日-2日，安徽品格检测技术有限公司对该项目进行了验收监测。根据监测结果及企业环境管理实际情况，巢湖市亚庆环保科技有限责任公司东塘路分公司编制了本报告。2021年7月31日，在巢湖召开了“安徽丰十味食品有限公司年产3000吨蛋挞半成品项目”阶段性竣工环境保护验收会，验收组经现场检查并审阅有关资料，经认真讨论，认为安徽丰十味食品有限公司年产3000吨蛋挞半成品项目环评审批手续齐全，主要污染防治设施已建成，实现达标排放，满足《建设项目竣工环境保护验收暂行办法》要求，具备阶段性竣工环境保护验收条件，验收合格。</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val="en-US" w:eastAsia="zh-CN"/>
        </w:rPr>
        <w:t>1.4公众反馈意见及处理情况</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本项目建设项目设计、施工和验收期间未收到过公众反馈意见或投诉、反馈。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2其他环节保护措施的落实情况</w:t>
      </w:r>
    </w:p>
    <w:p>
      <w:pPr>
        <w:pStyle w:val="8"/>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环境影响报告表及其审批部门审批决定中提出的，初环境保护设施外的其他环境保护措施，主要包括制度措施和配套措施，现将需要说明的措施内容汇入要求梳理如下：</w:t>
      </w:r>
    </w:p>
    <w:p>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2.1制度措施落实情况</w:t>
      </w:r>
    </w:p>
    <w:p>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环保组织机构及规章制度</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安徽丰十味食品有限公司已成立环保管理机构并制定环境管理制度。</w:t>
      </w:r>
    </w:p>
    <w:p>
      <w:pPr>
        <w:pStyle w:val="7"/>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环境风险防范措施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根据环境影响报告表及其审批部门审批意见，建设单位无需编制突发环境事故预案。</w:t>
      </w:r>
    </w:p>
    <w:p>
      <w:pPr>
        <w:pStyle w:val="8"/>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环境监测计划</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《安徽丰十味食品有限公司年产3000吨蛋挞半成品项目》及其审批部门决定已制定环境监测计划。本项目阶段性竣工环境保护验收调查阶段，安徽品格检测技术有限公司对该项目进行了2天的监测，监测结果达标。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2.2配套设施落实情况</w:t>
      </w:r>
    </w:p>
    <w:p>
      <w:pPr>
        <w:pStyle w:val="8"/>
        <w:keepNext w:val="0"/>
        <w:keepLines w:val="0"/>
        <w:pageBreakBefore w:val="0"/>
        <w:widowControl w:val="0"/>
        <w:numPr>
          <w:ilvl w:val="0"/>
          <w:numId w:val="15"/>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区域消减及淘汰落后产能</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项目区域内不涉及污染物总量措施和淘汰落后产能。</w:t>
      </w:r>
    </w:p>
    <w:p>
      <w:pPr>
        <w:keepNext w:val="0"/>
        <w:keepLines w:val="0"/>
        <w:pageBreakBefore w:val="0"/>
        <w:widowControl w:val="0"/>
        <w:numPr>
          <w:ilvl w:val="0"/>
          <w:numId w:val="15"/>
        </w:numPr>
        <w:kinsoku/>
        <w:wordWrap/>
        <w:overflowPunct/>
        <w:topLinePunct w:val="0"/>
        <w:autoSpaceDE/>
        <w:autoSpaceDN/>
        <w:bidi w:val="0"/>
        <w:adjustRightInd/>
        <w:snapToGrid/>
        <w:spacing w:line="360" w:lineRule="auto"/>
        <w:ind w:left="0"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防护距离控制及居民搬迁</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根据《安徽丰十味食品有限公司年产3000吨蛋挞半成品项目》的批复可知，本项目未设置环境防护距离，项目周边无居住宅、医院、学校等环境敏感建筑。</w:t>
      </w:r>
    </w:p>
    <w:p>
      <w:pPr>
        <w:pStyle w:val="7"/>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2.3其他措施落实情况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无</w:t>
      </w:r>
    </w:p>
    <w:p>
      <w:pPr>
        <w:pStyle w:val="8"/>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3整改工作情况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按照环评及批复要求进一步规范落实各项环保措施，加强厂区环境管理。</w:t>
      </w:r>
    </w:p>
    <w:p>
      <w:pPr>
        <w:pStyle w:val="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p>
    <w:p>
      <w:pPr>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安徽丰十味食品有限公司</w:t>
      </w:r>
      <w:bookmarkStart w:id="25" w:name="_GoBack"/>
      <w:bookmarkEnd w:id="25"/>
    </w:p>
    <w:p>
      <w:pPr>
        <w:pStyle w:val="2"/>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r>
        <w:rPr>
          <w:rFonts w:hint="eastAsia" w:ascii="Times New Roman" w:cs="Times New Roman"/>
          <w:sz w:val="24"/>
          <w:szCs w:val="24"/>
          <w:lang w:val="en-US" w:eastAsia="zh-CN"/>
        </w:rPr>
        <w:t xml:space="preserve">   </w:t>
      </w:r>
      <w:r>
        <w:rPr>
          <w:rFonts w:hint="eastAsia" w:ascii="Times New Roman" w:hAnsi="Times New Roman" w:cs="Times New Roman"/>
          <w:sz w:val="24"/>
          <w:szCs w:val="24"/>
          <w:lang w:val="en-US" w:eastAsia="zh-CN"/>
        </w:rPr>
        <w:t>2021年7月31日</w:t>
      </w:r>
    </w:p>
    <w:sectPr>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Utsaah">
    <w:panose1 w:val="020B0604020202020204"/>
    <w:charset w:val="00"/>
    <w:family w:val="auto"/>
    <w:pitch w:val="default"/>
    <w:sig w:usb0="00008003" w:usb1="00000000" w:usb2="00000000" w:usb3="00000000" w:csb0="00000001" w:csb1="00000000"/>
  </w:font>
  <w:font w:name="Impact">
    <w:panose1 w:val="020B080603090205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hhcf8kBAACZAwAADgAAAGRycy9lMm9Eb2MueG1srVPNjtMwEL4j8Q6W&#10;79TZC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b2mxHGLAz///HH+9ef8+zt5&#10;m+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2GFx/yQEAAJkDAAAOAAAAAAAAAAEAIAAAAB4BAABkcnMvZTJvRG9j&#10;LnhtbFBLBQYAAAAABgAGAFkBAABZ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bEeZcgBAACZ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WxHmXIAQAAmQMAAA4AAAAAAAAAAQAgAAAAHgEAAGRycy9lMm9Eb2Mu&#10;eG1sUEsFBgAAAAAGAAYAWQEAAFgFA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903B27"/>
    <w:multiLevelType w:val="singleLevel"/>
    <w:tmpl w:val="AE903B27"/>
    <w:lvl w:ilvl="0" w:tentative="0">
      <w:start w:val="1"/>
      <w:numFmt w:val="decimal"/>
      <w:suff w:val="nothing"/>
      <w:lvlText w:val="%1、"/>
      <w:lvlJc w:val="left"/>
    </w:lvl>
  </w:abstractNum>
  <w:abstractNum w:abstractNumId="1">
    <w:nsid w:val="C949A0AF"/>
    <w:multiLevelType w:val="singleLevel"/>
    <w:tmpl w:val="C949A0AF"/>
    <w:lvl w:ilvl="0" w:tentative="0">
      <w:start w:val="1"/>
      <w:numFmt w:val="decimal"/>
      <w:suff w:val="nothing"/>
      <w:lvlText w:val="（%1）"/>
      <w:lvlJc w:val="left"/>
    </w:lvl>
  </w:abstractNum>
  <w:abstractNum w:abstractNumId="2">
    <w:nsid w:val="CA5993D2"/>
    <w:multiLevelType w:val="singleLevel"/>
    <w:tmpl w:val="CA5993D2"/>
    <w:lvl w:ilvl="0" w:tentative="0">
      <w:start w:val="1"/>
      <w:numFmt w:val="decimal"/>
      <w:suff w:val="nothing"/>
      <w:lvlText w:val="%1、"/>
      <w:lvlJc w:val="left"/>
    </w:lvl>
  </w:abstractNum>
  <w:abstractNum w:abstractNumId="3">
    <w:nsid w:val="D9C12FD1"/>
    <w:multiLevelType w:val="singleLevel"/>
    <w:tmpl w:val="D9C12FD1"/>
    <w:lvl w:ilvl="0" w:tentative="0">
      <w:start w:val="1"/>
      <w:numFmt w:val="chineseCounting"/>
      <w:suff w:val="nothing"/>
      <w:lvlText w:val="%1、"/>
      <w:lvlJc w:val="left"/>
      <w:rPr>
        <w:rFonts w:hint="eastAsia"/>
      </w:rPr>
    </w:lvl>
  </w:abstractNum>
  <w:abstractNum w:abstractNumId="4">
    <w:nsid w:val="D9C1F948"/>
    <w:multiLevelType w:val="singleLevel"/>
    <w:tmpl w:val="D9C1F948"/>
    <w:lvl w:ilvl="0" w:tentative="0">
      <w:start w:val="1"/>
      <w:numFmt w:val="decimal"/>
      <w:suff w:val="nothing"/>
      <w:lvlText w:val="%1、"/>
      <w:lvlJc w:val="left"/>
    </w:lvl>
  </w:abstractNum>
  <w:abstractNum w:abstractNumId="5">
    <w:nsid w:val="E3140EBE"/>
    <w:multiLevelType w:val="singleLevel"/>
    <w:tmpl w:val="E3140EBE"/>
    <w:lvl w:ilvl="0" w:tentative="0">
      <w:start w:val="1"/>
      <w:numFmt w:val="chineseCounting"/>
      <w:suff w:val="space"/>
      <w:lvlText w:val="%1、"/>
      <w:lvlJc w:val="left"/>
      <w:rPr>
        <w:rFonts w:hint="eastAsia"/>
      </w:rPr>
    </w:lvl>
  </w:abstractNum>
  <w:abstractNum w:abstractNumId="6">
    <w:nsid w:val="F705FB4A"/>
    <w:multiLevelType w:val="singleLevel"/>
    <w:tmpl w:val="F705FB4A"/>
    <w:lvl w:ilvl="0" w:tentative="0">
      <w:start w:val="1"/>
      <w:numFmt w:val="decimal"/>
      <w:suff w:val="nothing"/>
      <w:lvlText w:val="%1、"/>
      <w:lvlJc w:val="left"/>
    </w:lvl>
  </w:abstractNum>
  <w:abstractNum w:abstractNumId="7">
    <w:nsid w:val="03E6B1BD"/>
    <w:multiLevelType w:val="singleLevel"/>
    <w:tmpl w:val="03E6B1BD"/>
    <w:lvl w:ilvl="0" w:tentative="0">
      <w:start w:val="2"/>
      <w:numFmt w:val="decimal"/>
      <w:suff w:val="nothing"/>
      <w:lvlText w:val="（%1）"/>
      <w:lvlJc w:val="left"/>
    </w:lvl>
  </w:abstractNum>
  <w:abstractNum w:abstractNumId="8">
    <w:nsid w:val="19F1B8C7"/>
    <w:multiLevelType w:val="singleLevel"/>
    <w:tmpl w:val="19F1B8C7"/>
    <w:lvl w:ilvl="0" w:tentative="0">
      <w:start w:val="2"/>
      <w:numFmt w:val="decimal"/>
      <w:lvlText w:val="%1."/>
      <w:lvlJc w:val="left"/>
      <w:pPr>
        <w:tabs>
          <w:tab w:val="left" w:pos="312"/>
        </w:tabs>
      </w:pPr>
    </w:lvl>
  </w:abstractNum>
  <w:abstractNum w:abstractNumId="9">
    <w:nsid w:val="23B3D2E6"/>
    <w:multiLevelType w:val="singleLevel"/>
    <w:tmpl w:val="23B3D2E6"/>
    <w:lvl w:ilvl="0" w:tentative="0">
      <w:start w:val="1"/>
      <w:numFmt w:val="decimal"/>
      <w:suff w:val="nothing"/>
      <w:lvlText w:val="%1、"/>
      <w:lvlJc w:val="left"/>
    </w:lvl>
  </w:abstractNum>
  <w:abstractNum w:abstractNumId="10">
    <w:nsid w:val="2871285E"/>
    <w:multiLevelType w:val="singleLevel"/>
    <w:tmpl w:val="2871285E"/>
    <w:lvl w:ilvl="0" w:tentative="0">
      <w:start w:val="2"/>
      <w:numFmt w:val="decimal"/>
      <w:suff w:val="nothing"/>
      <w:lvlText w:val="%1、"/>
      <w:lvlJc w:val="left"/>
    </w:lvl>
  </w:abstractNum>
  <w:abstractNum w:abstractNumId="11">
    <w:nsid w:val="4652A031"/>
    <w:multiLevelType w:val="singleLevel"/>
    <w:tmpl w:val="4652A031"/>
    <w:lvl w:ilvl="0" w:tentative="0">
      <w:start w:val="2"/>
      <w:numFmt w:val="decimal"/>
      <w:lvlText w:val="(%1)"/>
      <w:lvlJc w:val="left"/>
      <w:pPr>
        <w:tabs>
          <w:tab w:val="left" w:pos="312"/>
        </w:tabs>
      </w:pPr>
    </w:lvl>
  </w:abstractNum>
  <w:abstractNum w:abstractNumId="12">
    <w:nsid w:val="6316D990"/>
    <w:multiLevelType w:val="singleLevel"/>
    <w:tmpl w:val="6316D990"/>
    <w:lvl w:ilvl="0" w:tentative="0">
      <w:start w:val="1"/>
      <w:numFmt w:val="chineseCounting"/>
      <w:suff w:val="nothing"/>
      <w:lvlText w:val="（%1）"/>
      <w:lvlJc w:val="left"/>
      <w:pPr>
        <w:ind w:left="-60"/>
      </w:pPr>
      <w:rPr>
        <w:rFonts w:hint="eastAsia"/>
      </w:rPr>
    </w:lvl>
  </w:abstractNum>
  <w:abstractNum w:abstractNumId="13">
    <w:nsid w:val="76D15CE1"/>
    <w:multiLevelType w:val="singleLevel"/>
    <w:tmpl w:val="76D15CE1"/>
    <w:lvl w:ilvl="0" w:tentative="0">
      <w:start w:val="1"/>
      <w:numFmt w:val="chineseCounting"/>
      <w:suff w:val="nothing"/>
      <w:lvlText w:val="（%1）"/>
      <w:lvlJc w:val="left"/>
      <w:rPr>
        <w:rFonts w:hint="eastAsia"/>
      </w:rPr>
    </w:lvl>
  </w:abstractNum>
  <w:abstractNum w:abstractNumId="14">
    <w:nsid w:val="78E98540"/>
    <w:multiLevelType w:val="singleLevel"/>
    <w:tmpl w:val="78E98540"/>
    <w:lvl w:ilvl="0" w:tentative="0">
      <w:start w:val="1"/>
      <w:numFmt w:val="decimal"/>
      <w:suff w:val="nothing"/>
      <w:lvlText w:val="（%1）"/>
      <w:lvlJc w:val="left"/>
    </w:lvl>
  </w:abstractNum>
  <w:num w:numId="1">
    <w:abstractNumId w:val="4"/>
  </w:num>
  <w:num w:numId="2">
    <w:abstractNumId w:val="10"/>
  </w:num>
  <w:num w:numId="3">
    <w:abstractNumId w:val="2"/>
  </w:num>
  <w:num w:numId="4">
    <w:abstractNumId w:val="5"/>
  </w:num>
  <w:num w:numId="5">
    <w:abstractNumId w:val="12"/>
  </w:num>
  <w:num w:numId="6">
    <w:abstractNumId w:val="6"/>
  </w:num>
  <w:num w:numId="7">
    <w:abstractNumId w:val="9"/>
  </w:num>
  <w:num w:numId="8">
    <w:abstractNumId w:val="7"/>
  </w:num>
  <w:num w:numId="9">
    <w:abstractNumId w:val="0"/>
  </w:num>
  <w:num w:numId="10">
    <w:abstractNumId w:val="11"/>
  </w:num>
  <w:num w:numId="11">
    <w:abstractNumId w:val="3"/>
  </w:num>
  <w:num w:numId="12">
    <w:abstractNumId w:val="13"/>
  </w:num>
  <w:num w:numId="13">
    <w:abstractNumId w:val="8"/>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6110"/>
    <w:rsid w:val="0B406027"/>
    <w:rsid w:val="106A5C87"/>
    <w:rsid w:val="121A355A"/>
    <w:rsid w:val="17934104"/>
    <w:rsid w:val="1D051889"/>
    <w:rsid w:val="1ED336BB"/>
    <w:rsid w:val="22495CD8"/>
    <w:rsid w:val="29491B7D"/>
    <w:rsid w:val="35286718"/>
    <w:rsid w:val="46E22A03"/>
    <w:rsid w:val="472D67CB"/>
    <w:rsid w:val="4929123C"/>
    <w:rsid w:val="49D87A15"/>
    <w:rsid w:val="4D4F62F1"/>
    <w:rsid w:val="507D0F28"/>
    <w:rsid w:val="55827391"/>
    <w:rsid w:val="615E7DEB"/>
    <w:rsid w:val="64E74BEC"/>
    <w:rsid w:val="654434FF"/>
    <w:rsid w:val="684779BD"/>
    <w:rsid w:val="6AA8020E"/>
    <w:rsid w:val="6CC36E64"/>
    <w:rsid w:val="75F03E38"/>
    <w:rsid w:val="7898706A"/>
    <w:rsid w:val="7A815773"/>
    <w:rsid w:val="7C2D04F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Default"/>
    <w:basedOn w:val="3"/>
    <w:qFormat/>
    <w:uiPriority w:val="99"/>
    <w:pPr>
      <w:widowControl w:val="0"/>
      <w:autoSpaceDE w:val="0"/>
      <w:autoSpaceDN w:val="0"/>
      <w:adjustRightInd w:val="0"/>
    </w:pPr>
    <w:rPr>
      <w:rFonts w:ascii="宋体" w:cs="宋体"/>
      <w:color w:val="000000"/>
      <w:sz w:val="24"/>
      <w:szCs w:val="24"/>
      <w:lang w:val="en-US" w:eastAsia="zh-CN" w:bidi="ar-SA"/>
    </w:rPr>
  </w:style>
  <w:style w:type="paragraph" w:customStyle="1" w:styleId="3">
    <w:name w:val="批注文字1"/>
    <w:qFormat/>
    <w:uiPriority w:val="0"/>
    <w:pPr>
      <w:widowControl w:val="0"/>
    </w:pPr>
    <w:rPr>
      <w:rFonts w:ascii="Times New Roman" w:hAnsi="Times New Roman" w:eastAsia="宋体" w:cs="Times New Roman"/>
      <w:color w:val="000000"/>
      <w:kern w:val="2"/>
      <w:sz w:val="21"/>
      <w:szCs w:val="24"/>
      <w:lang w:val="en-US" w:eastAsia="zh-CN" w:bidi="ar-SA"/>
    </w:rPr>
  </w:style>
  <w:style w:type="paragraph" w:styleId="6">
    <w:name w:val="Normal Indent"/>
    <w:basedOn w:val="1"/>
    <w:qFormat/>
    <w:uiPriority w:val="0"/>
    <w:pPr>
      <w:ind w:firstLine="200" w:firstLineChars="200"/>
    </w:pPr>
  </w:style>
  <w:style w:type="paragraph" w:styleId="7">
    <w:name w:val="Salutation"/>
    <w:basedOn w:val="1"/>
    <w:next w:val="1"/>
    <w:qFormat/>
    <w:uiPriority w:val="0"/>
  </w:style>
  <w:style w:type="paragraph" w:styleId="8">
    <w:name w:val="Body Text"/>
    <w:basedOn w:val="1"/>
    <w:next w:val="7"/>
    <w:qFormat/>
    <w:uiPriority w:val="1"/>
    <w:rPr>
      <w:rFonts w:ascii="宋体" w:hAnsi="宋体" w:eastAsia="宋体" w:cs="宋体"/>
      <w:sz w:val="24"/>
      <w:szCs w:val="24"/>
      <w:lang w:val="zh-CN" w:eastAsia="zh-CN" w:bidi="zh-CN"/>
    </w:rPr>
  </w:style>
  <w:style w:type="paragraph" w:styleId="9">
    <w:name w:val="Body Text Indent"/>
    <w:basedOn w:val="1"/>
    <w:next w:val="10"/>
    <w:qFormat/>
    <w:uiPriority w:val="0"/>
    <w:pPr>
      <w:spacing w:after="120"/>
      <w:ind w:left="420" w:leftChars="200"/>
    </w:pPr>
  </w:style>
  <w:style w:type="paragraph" w:styleId="10">
    <w:name w:val="Body Text Indent 2"/>
    <w:basedOn w:val="1"/>
    <w:next w:val="11"/>
    <w:qFormat/>
    <w:uiPriority w:val="0"/>
    <w:pPr>
      <w:spacing w:after="120" w:line="480" w:lineRule="auto"/>
      <w:ind w:left="420" w:leftChars="200"/>
    </w:pPr>
  </w:style>
  <w:style w:type="paragraph" w:styleId="11">
    <w:name w:val="Body Text First Indent 2"/>
    <w:basedOn w:val="9"/>
    <w:next w:val="1"/>
    <w:qFormat/>
    <w:uiPriority w:val="0"/>
    <w:pPr>
      <w:ind w:firstLine="420" w:firstLineChars="2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2"/>
    <w:basedOn w:val="1"/>
    <w:next w:val="1"/>
    <w:qFormat/>
    <w:uiPriority w:val="0"/>
    <w:pPr>
      <w:ind w:left="420" w:leftChars="200"/>
    </w:pPr>
  </w:style>
  <w:style w:type="paragraph" w:styleId="15">
    <w:name w:val="Body Text 2"/>
    <w:basedOn w:val="1"/>
    <w:next w:val="1"/>
    <w:qFormat/>
    <w:uiPriority w:val="0"/>
    <w:pPr>
      <w:adjustRightInd/>
      <w:spacing w:after="120" w:afterLines="0" w:line="480" w:lineRule="auto"/>
      <w:jc w:val="both"/>
    </w:pPr>
    <w:rPr>
      <w:sz w:val="21"/>
      <w:szCs w:val="24"/>
    </w:rPr>
  </w:style>
  <w:style w:type="paragraph" w:styleId="1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标号正文"/>
    <w:basedOn w:val="1"/>
    <w:next w:val="1"/>
    <w:qFormat/>
    <w:uiPriority w:val="0"/>
    <w:pPr>
      <w:tabs>
        <w:tab w:val="left" w:pos="1540"/>
      </w:tabs>
      <w:overflowPunct w:val="0"/>
      <w:snapToGrid w:val="0"/>
      <w:spacing w:line="360" w:lineRule="auto"/>
      <w:ind w:left="0" w:firstLine="1040"/>
      <w:jc w:val="left"/>
    </w:pPr>
    <w:rPr>
      <w:rFonts w:ascii="Arial" w:hAnsi="Arial" w:eastAsia="宋体"/>
      <w:sz w:val="24"/>
      <w:szCs w:val="20"/>
    </w:rPr>
  </w:style>
  <w:style w:type="paragraph" w:customStyle="1" w:styleId="22">
    <w:name w:val="正文 首行缩进:  2 字符"/>
    <w:basedOn w:val="1"/>
    <w:qFormat/>
    <w:uiPriority w:val="0"/>
    <w:pPr>
      <w:spacing w:line="360" w:lineRule="auto"/>
      <w:ind w:firstLine="1040" w:firstLineChars="200"/>
      <w:jc w:val="left"/>
    </w:pPr>
    <w:rPr>
      <w:rFonts w:ascii="Times New Roman" w:hAnsi="Times New Roman" w:cs="宋体"/>
      <w:sz w:val="24"/>
    </w:rPr>
  </w:style>
  <w:style w:type="paragraph" w:customStyle="1" w:styleId="2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WPSOffice手动目录 1"/>
    <w:qFormat/>
    <w:uiPriority w:val="0"/>
    <w:pPr>
      <w:ind w:leftChars="0"/>
    </w:pPr>
    <w:rPr>
      <w:rFonts w:ascii="Calibri" w:hAnsi="Calibri" w:eastAsia="宋体" w:cs="Times New Roman"/>
      <w:sz w:val="20"/>
      <w:szCs w:val="20"/>
    </w:rPr>
  </w:style>
  <w:style w:type="paragraph" w:customStyle="1" w:styleId="25">
    <w:name w:val="WPSOffice手动目录 2"/>
    <w:uiPriority w:val="0"/>
    <w:pPr>
      <w:ind w:leftChars="200"/>
    </w:pPr>
    <w:rPr>
      <w:rFonts w:ascii="Calibri" w:hAnsi="Calibri" w:eastAsia="宋体" w:cs="Times New Roman"/>
      <w:sz w:val="20"/>
      <w:szCs w:val="20"/>
    </w:rPr>
  </w:style>
  <w:style w:type="paragraph" w:customStyle="1" w:styleId="26">
    <w:name w:val="WPSOffice手动目录 3"/>
    <w:qFormat/>
    <w:uiPriority w:val="0"/>
    <w:pPr>
      <w:ind w:leftChars="4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12616</Words>
  <Characters>14473</Characters>
  <Lines>0</Lines>
  <Paragraphs>0</Paragraphs>
  <TotalTime>485</TotalTime>
  <ScaleCrop>false</ScaleCrop>
  <LinksUpToDate>false</LinksUpToDate>
  <CharactersWithSpaces>14784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2021-06-22T02:14:00Z</dcterms:created>
  <dc:creator>Administrator</dc:creator>
  <cp:lastModifiedBy>Administrator</cp:lastModifiedBy>
  <cp:lastPrinted>2021-08-04T00:28:58Z</cp:lastPrinted>
  <dcterms:modified xsi:type="dcterms:W3CDTF">2021-08-04T07:01:51Z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7F3664B2D1E44BFE9B4655013C79A90B</vt:lpwstr>
  </property>
</Properties>
</file>