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第二部分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验收意见</w:t>
      </w:r>
    </w:p>
    <w:p>
      <w:pPr>
        <w:keepNext w:val="0"/>
        <w:keepLines w:val="0"/>
        <w:pageBreakBefore w:val="0"/>
        <w:kinsoku/>
        <w:wordWrap/>
        <w:overflowPunct/>
        <w:topLinePunct w:val="0"/>
        <w:autoSpaceDE/>
        <w:autoSpaceDN/>
        <w:bidi w:val="0"/>
        <w:spacing w:line="360" w:lineRule="auto"/>
        <w:ind w:firstLine="560" w:firstLineChars="200"/>
        <w:jc w:val="center"/>
        <w:textAlignment w:val="auto"/>
        <w:rPr>
          <w:rFonts w:hint="eastAsia" w:ascii="Calibri" w:hAnsi="Calibri" w:eastAsia="微软雅黑"/>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pStyle w:val="2"/>
        <w:rPr>
          <w:rFonts w:hint="default"/>
          <w:sz w:val="24"/>
          <w:szCs w:val="24"/>
        </w:rPr>
      </w:pPr>
    </w:p>
    <w:p>
      <w:pPr>
        <w:pStyle w:val="2"/>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kinsoku/>
        <w:wordWrap/>
        <w:overflowPunct/>
        <w:topLinePunct w:val="0"/>
        <w:autoSpaceDE/>
        <w:autoSpaceDN/>
        <w:bidi w:val="0"/>
        <w:spacing w:line="360" w:lineRule="auto"/>
        <w:ind w:firstLine="560" w:firstLineChars="200"/>
        <w:jc w:val="center"/>
        <w:textAlignment w:val="auto"/>
        <w:rPr>
          <w:rFonts w:hint="default" w:ascii="Calibri" w:hAnsi="Calibri" w:eastAsia="微软雅黑"/>
          <w:b w:val="0"/>
          <w:bCs w:val="0"/>
          <w:sz w:val="28"/>
          <w:szCs w:val="28"/>
        </w:rPr>
      </w:pPr>
      <w:r>
        <w:rPr>
          <w:rFonts w:hint="default" w:ascii="Calibri" w:hAnsi="Calibri" w:eastAsia="微软雅黑"/>
          <w:b w:val="0"/>
          <w:bCs w:val="0"/>
          <w:sz w:val="28"/>
          <w:szCs w:val="28"/>
        </w:rPr>
        <w:t>安徽芯一信息材料有限公司第二代单晶用特种陶瓷制造项目</w:t>
      </w:r>
    </w:p>
    <w:p>
      <w:pPr>
        <w:keepNext w:val="0"/>
        <w:keepLines w:val="0"/>
        <w:pageBreakBefore w:val="0"/>
        <w:kinsoku/>
        <w:wordWrap/>
        <w:overflowPunct/>
        <w:topLinePunct w:val="0"/>
        <w:autoSpaceDE/>
        <w:autoSpaceDN/>
        <w:bidi w:val="0"/>
        <w:spacing w:line="360" w:lineRule="auto"/>
        <w:ind w:firstLine="560" w:firstLineChars="200"/>
        <w:jc w:val="center"/>
        <w:textAlignment w:val="auto"/>
        <w:rPr>
          <w:rFonts w:hint="default" w:ascii="Calibri" w:hAnsi="Calibri" w:eastAsia="微软雅黑"/>
          <w:b w:val="0"/>
          <w:bCs w:val="0"/>
          <w:sz w:val="28"/>
          <w:szCs w:val="28"/>
        </w:rPr>
      </w:pPr>
      <w:r>
        <w:rPr>
          <w:rFonts w:hint="default" w:ascii="Calibri" w:hAnsi="Calibri" w:eastAsia="微软雅黑"/>
          <w:b w:val="0"/>
          <w:bCs w:val="0"/>
          <w:sz w:val="28"/>
          <w:szCs w:val="28"/>
          <w:lang w:eastAsia="zh-CN"/>
        </w:rPr>
        <w:t>阶段性</w:t>
      </w:r>
      <w:r>
        <w:rPr>
          <w:rFonts w:hint="default" w:ascii="Calibri" w:hAnsi="Calibri" w:eastAsia="微软雅黑"/>
          <w:b w:val="0"/>
          <w:bCs w:val="0"/>
          <w:sz w:val="28"/>
          <w:szCs w:val="28"/>
        </w:rPr>
        <w:t>竣工环境保护验收意见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2021年</w:t>
      </w:r>
      <w:r>
        <w:rPr>
          <w:rFonts w:hint="default"/>
          <w:sz w:val="24"/>
          <w:szCs w:val="24"/>
          <w:lang w:val="en-US" w:eastAsia="zh-CN"/>
        </w:rPr>
        <w:t>5</w:t>
      </w:r>
      <w:r>
        <w:rPr>
          <w:rFonts w:hint="default"/>
          <w:sz w:val="24"/>
          <w:szCs w:val="24"/>
        </w:rPr>
        <w:t>月2</w:t>
      </w:r>
      <w:r>
        <w:rPr>
          <w:rFonts w:hint="default"/>
          <w:sz w:val="24"/>
          <w:szCs w:val="24"/>
          <w:lang w:val="en-US" w:eastAsia="zh-CN"/>
        </w:rPr>
        <w:t>2</w:t>
      </w:r>
      <w:r>
        <w:rPr>
          <w:rFonts w:hint="default"/>
          <w:sz w:val="24"/>
          <w:szCs w:val="24"/>
        </w:rPr>
        <w:t>日，根据《建设项目环境保护管理条例》(国务院令第682号)和《建设项目竣工环境保护验收暂</w:t>
      </w:r>
      <w:bookmarkStart w:id="9" w:name="_GoBack"/>
      <w:bookmarkEnd w:id="9"/>
      <w:r>
        <w:rPr>
          <w:rFonts w:hint="default"/>
          <w:sz w:val="24"/>
          <w:szCs w:val="24"/>
        </w:rPr>
        <w:t>行办法》（国环规环评[2017]4号）等相关文件要求，安徽芯一信息材料有限公司在本公司组织召开“安徽芯一信息材料有限公司第二代单晶用特种陶瓷制造项目”</w:t>
      </w:r>
      <w:r>
        <w:rPr>
          <w:rFonts w:hint="default"/>
          <w:sz w:val="24"/>
          <w:szCs w:val="24"/>
          <w:lang w:eastAsia="zh-CN"/>
        </w:rPr>
        <w:t>阶段性</w:t>
      </w:r>
      <w:r>
        <w:rPr>
          <w:rFonts w:hint="default"/>
          <w:sz w:val="24"/>
          <w:szCs w:val="24"/>
        </w:rPr>
        <w:t>竣工环境保护验收会，成立了</w:t>
      </w:r>
      <w:r>
        <w:rPr>
          <w:rFonts w:hint="default"/>
          <w:sz w:val="24"/>
          <w:szCs w:val="24"/>
          <w:lang w:eastAsia="zh-CN"/>
        </w:rPr>
        <w:t>阶段性</w:t>
      </w:r>
      <w:r>
        <w:rPr>
          <w:rFonts w:hint="default"/>
          <w:sz w:val="24"/>
          <w:szCs w:val="24"/>
        </w:rPr>
        <w:t>竣工环境保护验收工作组（以下简称“验收组”），验收组由安徽芯一信息材料有限公司（建设单位）、巢湖市亚庆环保科技有限责任公司东塘路分公司（委托验收单位）和3位专家共</w:t>
      </w:r>
      <w:r>
        <w:rPr>
          <w:rFonts w:hint="default"/>
          <w:sz w:val="24"/>
          <w:szCs w:val="24"/>
          <w:lang w:val="en-US" w:eastAsia="zh-CN"/>
        </w:rPr>
        <w:t>5</w:t>
      </w:r>
      <w:r>
        <w:rPr>
          <w:rFonts w:hint="default"/>
          <w:sz w:val="24"/>
          <w:szCs w:val="24"/>
        </w:rPr>
        <w:t>人组成。验收组成员对本项目建设情况进行现场核查，听取了建设单位对项目环境保护自查情况的介绍及验收监测报告编制单位对验收监测报告主要内容的汇报，在审阅并核实了相关资料后，经认真讨论，形成验收意见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一、项目基本情况及主要建设内容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安徽芯一信息材料有限公司成立于2018年8月15日，主要从事超高温、高纯度半导体周边材料（包含热解氮化硼、热解石墨、热解石墨合金、碳化硅涂层）的研发、生产、销售及相关技术咨询服务等。安徽芯一信息材料有限公司于2018年8月1日租赁了“浩森产业园9号厂房”新建“第二代单晶用特种陶瓷材料制造项目”。项目总投资1342万元，占地总面积3500m2，建筑面积3000m2。项目建成8条生产线后将形成年产</w:t>
      </w:r>
      <w:r>
        <w:rPr>
          <w:rFonts w:hint="default"/>
          <w:sz w:val="24"/>
          <w:szCs w:val="24"/>
        </w:rPr>
        <w:t>2英寸VGF坩埚</w:t>
      </w:r>
      <w:r>
        <w:rPr>
          <w:rFonts w:hint="default"/>
          <w:sz w:val="24"/>
          <w:szCs w:val="24"/>
          <w:lang w:val="en-US" w:eastAsia="zh-CN"/>
        </w:rPr>
        <w:t>2400套/年；</w:t>
      </w:r>
      <w:r>
        <w:rPr>
          <w:rFonts w:hint="default"/>
          <w:sz w:val="24"/>
          <w:szCs w:val="24"/>
        </w:rPr>
        <w:t>3英寸VGF坩埚</w:t>
      </w:r>
      <w:r>
        <w:rPr>
          <w:rFonts w:hint="default"/>
          <w:sz w:val="24"/>
          <w:szCs w:val="24"/>
          <w:lang w:val="en-US" w:eastAsia="zh-CN"/>
        </w:rPr>
        <w:t>1600套/年；</w:t>
      </w:r>
      <w:r>
        <w:rPr>
          <w:rFonts w:hint="default"/>
          <w:sz w:val="24"/>
          <w:szCs w:val="24"/>
        </w:rPr>
        <w:t>4英寸VGF坩埚</w:t>
      </w:r>
      <w:r>
        <w:rPr>
          <w:rFonts w:hint="default"/>
          <w:sz w:val="24"/>
          <w:szCs w:val="24"/>
          <w:lang w:val="en-US" w:eastAsia="zh-CN"/>
        </w:rPr>
        <w:t>1200套/年的生产能力。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项目主要建设内容： 1、主体工程：包括</w:t>
      </w:r>
      <w:r>
        <w:rPr>
          <w:rFonts w:hint="default"/>
          <w:sz w:val="24"/>
          <w:szCs w:val="24"/>
          <w:lang w:val="en-US" w:eastAsia="zh-CN"/>
        </w:rPr>
        <w:t>8条化学气相沉积</w:t>
      </w:r>
      <w:r>
        <w:rPr>
          <w:rFonts w:hint="default"/>
          <w:sz w:val="24"/>
          <w:szCs w:val="24"/>
        </w:rPr>
        <w:t>生产线，建筑面积为</w:t>
      </w:r>
      <w:r>
        <w:rPr>
          <w:rFonts w:hint="default"/>
          <w:sz w:val="24"/>
          <w:szCs w:val="24"/>
          <w:lang w:val="en-US" w:eastAsia="zh-CN"/>
        </w:rPr>
        <w:t>3000</w:t>
      </w:r>
      <w:r>
        <w:rPr>
          <w:rFonts w:hint="default"/>
          <w:sz w:val="24"/>
          <w:szCs w:val="24"/>
        </w:rPr>
        <w:t>m2。</w:t>
      </w:r>
      <w:r>
        <w:rPr>
          <w:rFonts w:hint="default"/>
          <w:sz w:val="24"/>
          <w:szCs w:val="24"/>
          <w:lang w:val="en-US" w:eastAsia="zh-CN"/>
        </w:rPr>
        <w:t>2</w:t>
      </w:r>
      <w:r>
        <w:rPr>
          <w:rFonts w:hint="default"/>
          <w:sz w:val="24"/>
          <w:szCs w:val="24"/>
        </w:rPr>
        <w:t>、辅助工程，包括办公</w:t>
      </w:r>
      <w:r>
        <w:rPr>
          <w:rFonts w:hint="default"/>
          <w:sz w:val="24"/>
          <w:szCs w:val="24"/>
          <w:lang w:eastAsia="zh-CN"/>
        </w:rPr>
        <w:t>用房、食堂</w:t>
      </w:r>
      <w:r>
        <w:rPr>
          <w:rFonts w:hint="default"/>
          <w:sz w:val="24"/>
          <w:szCs w:val="24"/>
        </w:rPr>
        <w:t>。</w:t>
      </w:r>
      <w:r>
        <w:rPr>
          <w:rFonts w:hint="default"/>
          <w:sz w:val="24"/>
          <w:szCs w:val="24"/>
          <w:lang w:val="en-US" w:eastAsia="zh-CN"/>
        </w:rPr>
        <w:t>3</w:t>
      </w:r>
      <w:r>
        <w:rPr>
          <w:rFonts w:hint="default"/>
          <w:sz w:val="24"/>
          <w:szCs w:val="24"/>
        </w:rPr>
        <w:t>、公用工程，包括供水、排水、供电工程。</w:t>
      </w:r>
      <w:r>
        <w:rPr>
          <w:rFonts w:hint="default"/>
          <w:sz w:val="24"/>
          <w:szCs w:val="24"/>
          <w:lang w:val="en-US" w:eastAsia="zh-CN"/>
        </w:rPr>
        <w:t>4、</w:t>
      </w:r>
      <w:r>
        <w:rPr>
          <w:rFonts w:hint="default"/>
          <w:sz w:val="24"/>
          <w:szCs w:val="24"/>
        </w:rPr>
        <w:t>储运工程</w:t>
      </w:r>
      <w:r>
        <w:rPr>
          <w:rFonts w:hint="default"/>
          <w:sz w:val="24"/>
          <w:szCs w:val="24"/>
          <w:lang w:eastAsia="zh-CN"/>
        </w:rPr>
        <w:t>：</w:t>
      </w:r>
      <w:r>
        <w:rPr>
          <w:rFonts w:hint="default"/>
          <w:sz w:val="24"/>
          <w:szCs w:val="24"/>
        </w:rPr>
        <w:t>原材料仓库</w:t>
      </w:r>
      <w:r>
        <w:rPr>
          <w:rFonts w:hint="default"/>
          <w:sz w:val="24"/>
          <w:szCs w:val="24"/>
          <w:lang w:eastAsia="zh-CN"/>
        </w:rPr>
        <w:t>、</w:t>
      </w:r>
      <w:r>
        <w:rPr>
          <w:rFonts w:hint="default"/>
          <w:sz w:val="24"/>
          <w:szCs w:val="24"/>
        </w:rPr>
        <w:t>成品堆放区</w:t>
      </w:r>
      <w:r>
        <w:rPr>
          <w:rFonts w:hint="default"/>
          <w:sz w:val="24"/>
          <w:szCs w:val="24"/>
          <w:lang w:eastAsia="zh-CN"/>
        </w:rPr>
        <w:t>。</w:t>
      </w:r>
      <w:r>
        <w:rPr>
          <w:rFonts w:hint="default"/>
          <w:sz w:val="24"/>
          <w:szCs w:val="24"/>
          <w:lang w:val="en-US" w:eastAsia="zh-CN"/>
        </w:rPr>
        <w:t>4</w:t>
      </w:r>
      <w:r>
        <w:rPr>
          <w:rFonts w:hint="default"/>
          <w:sz w:val="24"/>
          <w:szCs w:val="24"/>
        </w:rPr>
        <w:t>环保工程，包括废气、废水、噪声和固废处理工程。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eastAsia"/>
          <w:b/>
          <w:bCs/>
          <w:sz w:val="24"/>
          <w:szCs w:val="24"/>
          <w:lang w:eastAsia="zh-CN"/>
        </w:rPr>
        <w:t>二、</w:t>
      </w:r>
      <w:r>
        <w:rPr>
          <w:rFonts w:hint="default"/>
          <w:b/>
          <w:bCs/>
          <w:sz w:val="24"/>
          <w:szCs w:val="24"/>
        </w:rPr>
        <w:t>建设项目审批情况及验收进展情况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项目于2019年11月13日经巢湖市发展改革委员对第二代单晶用特种陶瓷制造项目备案，备案编码为2019-340181-30-03-029672。企业于2020年1月5日委托安徽绿环环保科技有限公司编制建设项目环境影响报告表，2020年6月19日巢湖市环境保护局以巢环审【2020】40号文对此进行了批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2021年</w:t>
      </w:r>
      <w:r>
        <w:rPr>
          <w:rFonts w:hint="default"/>
          <w:sz w:val="24"/>
          <w:szCs w:val="24"/>
          <w:lang w:val="en-US" w:eastAsia="zh-CN"/>
        </w:rPr>
        <w:t>5</w:t>
      </w:r>
      <w:r>
        <w:rPr>
          <w:rFonts w:hint="default"/>
          <w:sz w:val="24"/>
          <w:szCs w:val="24"/>
        </w:rPr>
        <w:t>月，</w:t>
      </w:r>
      <w:r>
        <w:rPr>
          <w:rFonts w:hint="default"/>
          <w:sz w:val="24"/>
          <w:szCs w:val="24"/>
          <w:lang w:eastAsia="zh-CN"/>
        </w:rPr>
        <w:t>安徽芯一信息材料有限公司</w:t>
      </w:r>
      <w:r>
        <w:rPr>
          <w:rFonts w:hint="default"/>
          <w:sz w:val="24"/>
          <w:szCs w:val="24"/>
        </w:rPr>
        <w:t>根据《中华人民共和国环境保护法》、《建设项目环境保护管理条例》（2017年修订）及《建设项目竣工环境保护验收暂行办法》，委托巢湖市亚庆环保科技有限责任公司东塘路分公司对该项目开展</w:t>
      </w:r>
      <w:r>
        <w:rPr>
          <w:rFonts w:hint="default"/>
          <w:sz w:val="24"/>
          <w:szCs w:val="24"/>
          <w:lang w:eastAsia="zh-CN"/>
        </w:rPr>
        <w:t>阶段性</w:t>
      </w:r>
      <w:r>
        <w:rPr>
          <w:rFonts w:hint="default"/>
          <w:sz w:val="24"/>
          <w:szCs w:val="24"/>
        </w:rPr>
        <w:t>竣工环境保护验收工作，并依据现场勘查和验收监测结果，编制了本项目的</w:t>
      </w:r>
      <w:r>
        <w:rPr>
          <w:rFonts w:hint="default"/>
          <w:sz w:val="24"/>
          <w:szCs w:val="24"/>
          <w:lang w:eastAsia="zh-CN"/>
        </w:rPr>
        <w:t>阶段性</w:t>
      </w:r>
      <w:r>
        <w:rPr>
          <w:rFonts w:hint="default"/>
          <w:sz w:val="24"/>
          <w:szCs w:val="24"/>
        </w:rPr>
        <w:t>验收监测报告。</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三、投资情况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项目总投资</w:t>
      </w:r>
      <w:r>
        <w:rPr>
          <w:rFonts w:hint="default"/>
          <w:sz w:val="24"/>
          <w:szCs w:val="24"/>
          <w:lang w:val="en-US" w:eastAsia="zh-CN"/>
        </w:rPr>
        <w:t>1342</w:t>
      </w:r>
      <w:r>
        <w:rPr>
          <w:rFonts w:hint="default"/>
          <w:sz w:val="24"/>
          <w:szCs w:val="24"/>
        </w:rPr>
        <w:t>万元，其中环保投资</w:t>
      </w:r>
      <w:r>
        <w:rPr>
          <w:rFonts w:hint="default"/>
          <w:sz w:val="24"/>
          <w:szCs w:val="24"/>
          <w:lang w:val="en-US" w:eastAsia="zh-CN"/>
        </w:rPr>
        <w:t>54.8</w:t>
      </w:r>
      <w:r>
        <w:rPr>
          <w:rFonts w:hint="default"/>
          <w:sz w:val="24"/>
          <w:szCs w:val="24"/>
        </w:rPr>
        <w:t>万元，环保投资占总投资的</w:t>
      </w:r>
      <w:r>
        <w:rPr>
          <w:rFonts w:hint="default"/>
          <w:sz w:val="24"/>
          <w:szCs w:val="24"/>
          <w:lang w:val="en-US" w:eastAsia="zh-CN"/>
        </w:rPr>
        <w:t>4.08</w:t>
      </w:r>
      <w:r>
        <w:rPr>
          <w:rFonts w:hint="default"/>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eastAsia"/>
          <w:b/>
          <w:bCs/>
          <w:sz w:val="24"/>
          <w:szCs w:val="24"/>
          <w:lang w:eastAsia="zh-CN"/>
        </w:rPr>
        <w:t>四、</w:t>
      </w:r>
      <w:r>
        <w:rPr>
          <w:rFonts w:hint="default"/>
          <w:b/>
          <w:bCs/>
          <w:sz w:val="24"/>
          <w:szCs w:val="24"/>
        </w:rPr>
        <w:t>验收范围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本次验收为</w:t>
      </w:r>
      <w:r>
        <w:rPr>
          <w:rFonts w:hint="default"/>
          <w:sz w:val="24"/>
          <w:szCs w:val="24"/>
          <w:lang w:val="en-US" w:eastAsia="zh-CN"/>
        </w:rPr>
        <w:t>安徽芯一信息材料有限公司第二代单晶用特种陶瓷材料制造项目阶段性</w:t>
      </w:r>
      <w:r>
        <w:rPr>
          <w:rFonts w:hint="default"/>
          <w:sz w:val="24"/>
          <w:szCs w:val="24"/>
        </w:rPr>
        <w:t>竣工环境保护验收</w:t>
      </w:r>
      <w:r>
        <w:rPr>
          <w:rFonts w:hint="default"/>
          <w:sz w:val="24"/>
          <w:szCs w:val="24"/>
          <w:lang w:eastAsia="zh-CN"/>
        </w:rPr>
        <w:t>（包含</w:t>
      </w:r>
      <w:r>
        <w:rPr>
          <w:rFonts w:hint="default"/>
          <w:sz w:val="24"/>
          <w:szCs w:val="24"/>
          <w:lang w:val="en-US" w:eastAsia="zh-CN"/>
        </w:rPr>
        <w:t>8条化学气相沉积生产线及配套设施</w:t>
      </w:r>
      <w:r>
        <w:rPr>
          <w:rFonts w:hint="default"/>
          <w:sz w:val="24"/>
          <w:szCs w:val="24"/>
          <w:lang w:eastAsia="zh-CN"/>
        </w:rPr>
        <w:t>）</w:t>
      </w:r>
      <w:r>
        <w:rPr>
          <w:rFonts w:hint="default"/>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五、项目变动情况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eastAsia="zh-CN"/>
        </w:rPr>
        <w:t>经现场调查与建设单位核实，该项目企业名称、地点、工艺流程、主体建设内容、生产能力均与环评一致。</w:t>
      </w:r>
      <w:r>
        <w:rPr>
          <w:rFonts w:hint="default"/>
          <w:sz w:val="24"/>
          <w:szCs w:val="24"/>
          <w:lang w:val="en-US" w:eastAsia="zh-CN"/>
        </w:rPr>
        <w:t>因此</w:t>
      </w:r>
      <w:r>
        <w:rPr>
          <w:rFonts w:hint="default"/>
          <w:sz w:val="24"/>
          <w:szCs w:val="24"/>
        </w:rPr>
        <w:t>该项目不存在重大变动</w:t>
      </w:r>
      <w:r>
        <w:rPr>
          <w:rFonts w:hint="default"/>
          <w:sz w:val="24"/>
          <w:szCs w:val="24"/>
          <w:lang w:eastAsia="zh-CN"/>
        </w:rPr>
        <w:t>，符合阶段性验收条件（只验</w:t>
      </w:r>
      <w:r>
        <w:rPr>
          <w:rFonts w:hint="default"/>
          <w:sz w:val="24"/>
          <w:szCs w:val="24"/>
          <w:lang w:val="en-US" w:eastAsia="zh-CN"/>
        </w:rPr>
        <w:t>8条化学气相沉积生产线</w:t>
      </w:r>
      <w:r>
        <w:rPr>
          <w:rFonts w:hint="default"/>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六、环保设施建设情况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①废水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营运期废水包括真空炉冷却水循环使用，不外排；产品清洗废水经沉淀池沉淀后的废水；喷淋塔定期更换废水经中和池处理后的废水。食堂废水经隔油池处理后与员工生活污水经化粪池预处理后的废水。污水统一汇入厂区污水总排口。项目综合废水预处理达《污水综合排放标准》（GB8978-1996）表4中三级标准接入市政污水管网，经巢湖市岗岭污水处理厂处理尾水达到《巢湖流域城镇污水处理厂和工业行业主要水污染物排放限值》（DB34/2710-2016）表1标准，其中未规定污染物指标执行《城镇污水处理厂污染物排放标准》一级标准中A标准后排放后外排至裕溪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②废气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 xml:space="preserve">本项目运营后，主要废气为石墨模具产品机加工粉尘，机加工所有设备分别通过集气罩收集后由风机引入脉冲布袋除尘器处理后由一根不低于15m高的排气筒排放，未收集的部分无组织排放；端面抛光工序产生的粉尘，配备一台工业吸尘器收集，未收集部分无组织排放；化学气相沉积氯化氢废气，项目15条化学气相沉积炉产生的废气分别通过密闭管道收集后由风机引入碱液喷淋塔处理后，由一根不低于15m高排气筒排放。可有效减轻对大气的污染。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③噪声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本项目主要噪声源为石墨模具产品机加工设备、风机、循环水泵等设备产生的机械噪声，通过相应的降噪、距离衰减、和建筑物隔声后，本项目运营期间可以达标排放，即厂界东、西、</w:t>
      </w:r>
      <w:r>
        <w:rPr>
          <w:rFonts w:hint="default"/>
          <w:sz w:val="24"/>
          <w:szCs w:val="24"/>
          <w:lang w:eastAsia="zh-CN"/>
        </w:rPr>
        <w:t>南、</w:t>
      </w:r>
      <w:r>
        <w:rPr>
          <w:rFonts w:hint="default"/>
          <w:sz w:val="24"/>
          <w:szCs w:val="24"/>
        </w:rPr>
        <w:t>北侧能达到噪声《工业企业厂界环境噪声排放标准》（GB12348-2008）3类标准。对附近敏感点和周边环境影响较小。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④固体废物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运营后主要的固体废物为石墨模具残次品及机加工过程中产生的边角料、不合格产品、除尘器及吸尘器收集的粉尘、废原材料包装、废碳毡。石墨磨具残次品回用于生产，其他固体经收集后分类堆放于厂区石墨库。定期</w:t>
      </w:r>
      <w:r>
        <w:rPr>
          <w:rFonts w:hint="default"/>
          <w:sz w:val="24"/>
          <w:szCs w:val="24"/>
          <w:lang w:eastAsia="zh-CN"/>
        </w:rPr>
        <w:t>规范处置</w:t>
      </w:r>
      <w:r>
        <w:rPr>
          <w:rFonts w:hint="default"/>
          <w:sz w:val="24"/>
          <w:szCs w:val="24"/>
        </w:rPr>
        <w:t>。废机油、废旧铅酸蓄电池、废润滑油存放至危废暂存间，统一收集后交由有资质的单位处理。可避免对环境造成影响。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七、环境保护设施调试效果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根据《建设项目竣工环境保护验收技术指南  污染影响类》关于建设项目环境保护设施竣工验收监测的要求，验收监测应当在确保主体工程工况稳定、环境保护设施运行正常的情况下进行，并如实记录监测时的实际工况以及决定或影响工况的关键参数，如实记录能够反映环境保护设施运行状态的主要指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验收监测期间生产工况记录：</w:t>
      </w:r>
      <w:r>
        <w:rPr>
          <w:rFonts w:hint="default"/>
          <w:sz w:val="24"/>
          <w:szCs w:val="24"/>
          <w:lang w:eastAsia="zh-CN"/>
        </w:rPr>
        <w:t>阶段性</w:t>
      </w:r>
      <w:r>
        <w:rPr>
          <w:rFonts w:hint="default"/>
          <w:sz w:val="24"/>
          <w:szCs w:val="24"/>
        </w:rPr>
        <w:t>验收监测期间，生产工况处于稳定运行。生产达到设计生产能力的75%或达到设计指标的75%以上的稳定工况条件下进行监测，且各项污染治理设施运行正常。</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八、验收监测结果</w:t>
      </w:r>
      <w:bookmarkStart w:id="0" w:name="_Toc216665972"/>
      <w:bookmarkStart w:id="1" w:name="_Toc240685276"/>
      <w:bookmarkStart w:id="2" w:name="_Toc248737960"/>
      <w:bookmarkStart w:id="3" w:name="_Toc471484718"/>
      <w:bookmarkStart w:id="4" w:name="_Toc234035074"/>
      <w:bookmarkStart w:id="5" w:name="_Toc306008011"/>
      <w:bookmarkStart w:id="6" w:name="_Toc217378879"/>
      <w:bookmarkStart w:id="7" w:name="_Toc165"/>
      <w:bookmarkStart w:id="8" w:name="_Toc267381923"/>
    </w:p>
    <w:bookmarkEnd w:id="0"/>
    <w:bookmarkEnd w:id="1"/>
    <w:bookmarkEnd w:id="2"/>
    <w:bookmarkEnd w:id="3"/>
    <w:bookmarkEnd w:id="4"/>
    <w:bookmarkEnd w:id="5"/>
    <w:bookmarkEnd w:id="6"/>
    <w:bookmarkEnd w:id="7"/>
    <w:bookmarkEnd w:id="8"/>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项目</w:t>
      </w:r>
      <w:r>
        <w:rPr>
          <w:rFonts w:hint="default"/>
          <w:sz w:val="24"/>
          <w:szCs w:val="24"/>
          <w:lang w:eastAsia="zh-CN"/>
        </w:rPr>
        <w:t>阶段性</w:t>
      </w:r>
      <w:r>
        <w:rPr>
          <w:rFonts w:hint="default"/>
          <w:sz w:val="24"/>
          <w:szCs w:val="24"/>
        </w:rPr>
        <w:t>验收监测期间，主体工程及污染治理设施运转正常，满足验收监测技术规范要求。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①废水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营运期废水包括真空炉冷却水循环使用，不外排；产品清洗废水经沉淀池沉淀后的废水；喷淋塔定期更换废水经中和池处理后的废水。食堂废水经隔油池处理后与员工生活污水经化粪池预处理后的废水。污水统一汇入厂区污水总排口。项目综合废水预处理达《污水综合排放标准》（GB8978-1996）表4中三级标准接入市政污水管网</w:t>
      </w:r>
      <w:r>
        <w:rPr>
          <w:rFonts w:hint="default"/>
          <w:sz w:val="24"/>
          <w:szCs w:val="24"/>
          <w:lang w:eastAsia="zh-CN"/>
        </w:rPr>
        <w:t>。</w:t>
      </w:r>
      <w:r>
        <w:rPr>
          <w:rFonts w:hint="default"/>
          <w:sz w:val="24"/>
          <w:szCs w:val="24"/>
        </w:rPr>
        <w:t>监测结果表明项目废水满足《污水综合排放标准》（GB8978-1996）中表4中三级标准要求。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②废气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运营后，主要废气为石墨模具产品机加工粉尘，机加工所有设备分别通过集气罩收集后由风机引入脉冲布袋除尘器处理后由一根不低于15m高的排气筒排放，未收集的部分无组织排放；端面抛光工序产生的粉尘，配备一台工业吸尘器收集，未收集部分无组织排放；化学气相沉积氯化氢废气，项目15条化学气相沉积炉产生的废气分别通过密闭管道收集后由风机引入碱液喷淋塔处理后，由一根不低于15m高排气筒排放。可有效减轻对大气的污染。</w:t>
      </w:r>
      <w:r>
        <w:rPr>
          <w:rFonts w:hint="default"/>
          <w:sz w:val="24"/>
          <w:szCs w:val="24"/>
          <w:lang w:eastAsia="zh-CN"/>
        </w:rPr>
        <w:t>监测结果表明，废气均达标排放。</w:t>
      </w:r>
      <w:r>
        <w:rPr>
          <w:rFonts w:hint="default"/>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 xml:space="preserve"> ③噪声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本项目运营期间达标排放，厂界东、西、</w:t>
      </w:r>
      <w:r>
        <w:rPr>
          <w:rFonts w:hint="default"/>
          <w:sz w:val="24"/>
          <w:szCs w:val="24"/>
          <w:lang w:eastAsia="zh-CN"/>
        </w:rPr>
        <w:t>南、</w:t>
      </w:r>
      <w:r>
        <w:rPr>
          <w:rFonts w:hint="default"/>
          <w:sz w:val="24"/>
          <w:szCs w:val="24"/>
        </w:rPr>
        <w:t>北侧</w:t>
      </w:r>
      <w:r>
        <w:rPr>
          <w:rFonts w:hint="default"/>
          <w:sz w:val="24"/>
          <w:szCs w:val="24"/>
          <w:lang w:eastAsia="zh-CN"/>
        </w:rPr>
        <w:t>均满足</w:t>
      </w:r>
      <w:r>
        <w:rPr>
          <w:rFonts w:hint="default"/>
          <w:sz w:val="24"/>
          <w:szCs w:val="24"/>
        </w:rPr>
        <w:t>噪声《工业企业厂界环境噪声排放标准》（GB12348-2008）3类标准。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 xml:space="preserve"> ④固体废物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本项目运营后主要的固体废物为石墨模具残次品及机加工过程中产生的边角料、不合格产品、除尘器及吸尘器收集的粉尘、废原材料包装、废碳毡。石墨磨具残次品回用于生产，其他固体经收集后分类堆放于厂区石墨库。定期</w:t>
      </w:r>
      <w:r>
        <w:rPr>
          <w:rFonts w:hint="default"/>
          <w:sz w:val="24"/>
          <w:szCs w:val="24"/>
          <w:lang w:eastAsia="zh-CN"/>
        </w:rPr>
        <w:t>规范处置</w:t>
      </w:r>
      <w:r>
        <w:rPr>
          <w:rFonts w:hint="default"/>
          <w:sz w:val="24"/>
          <w:szCs w:val="24"/>
        </w:rPr>
        <w:t>。废机油、废旧铅酸蓄电池、废润滑油存放至危废暂存间，统一收集后交由有资质的单位处理。可避免对环境造成影响。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九、验收结论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安徽芯一信息材料有限公司第二代单晶用特种陶瓷材料制造项目执行了环境影响评价制度、环境保护审查、审批手续完备，基本按照环评文件及批复的要求落实了污染防治措施，采取的污染防治措施效果良好，各类污染物达标排放，符合竣工环境保护验收的要求。因此安徽芯一信息材料有限公司第二代单晶用特种陶瓷材料制造项目</w:t>
      </w:r>
      <w:r>
        <w:rPr>
          <w:rFonts w:hint="default"/>
          <w:sz w:val="24"/>
          <w:szCs w:val="24"/>
          <w:lang w:eastAsia="zh-CN"/>
        </w:rPr>
        <w:t>阶段性</w:t>
      </w:r>
      <w:r>
        <w:rPr>
          <w:rFonts w:hint="default"/>
          <w:sz w:val="24"/>
          <w:szCs w:val="24"/>
        </w:rPr>
        <w:t>竣工环境保护验收合格。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pPr>
      <w:r>
        <w:rPr>
          <w:rFonts w:hint="default"/>
          <w:b/>
          <w:bCs/>
          <w:sz w:val="24"/>
          <w:szCs w:val="24"/>
        </w:rPr>
        <w:t>十、公司承诺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lang w:val="en-US" w:eastAsia="zh-CN"/>
        </w:rPr>
        <w:t>1、</w:t>
      </w:r>
      <w:r>
        <w:rPr>
          <w:rFonts w:hint="default"/>
          <w:sz w:val="24"/>
          <w:szCs w:val="24"/>
        </w:rPr>
        <w:t>严格执行危废的各项管理规定，加强防渗等措施。规范一般固废场所建设，按固定法要求落实防扬散、防流失、防渗漏的三防措施。加强固废的环境管理。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2、应定期维护污染防治设施，确保正常运行。制定运维制度，并做好记录。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附：1.参会人员签到表；</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sz w:val="24"/>
          <w:szCs w:val="24"/>
        </w:rPr>
      </w:pPr>
      <w:r>
        <w:rPr>
          <w:rFonts w:hint="default"/>
          <w:sz w:val="24"/>
          <w:szCs w:val="24"/>
        </w:rPr>
        <w:t>2.建设项目竣工环境保护验收监测报告。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rPr>
      </w:pPr>
      <w:r>
        <w:rPr>
          <w:rFonts w:hint="default"/>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right"/>
        <w:textAlignment w:val="auto"/>
        <w:rPr>
          <w:rFonts w:hint="eastAsia" w:eastAsia="宋体"/>
          <w:b/>
          <w:bCs/>
          <w:sz w:val="24"/>
          <w:szCs w:val="24"/>
          <w:lang w:eastAsia="zh-CN"/>
        </w:rPr>
      </w:pPr>
      <w:r>
        <w:rPr>
          <w:rFonts w:hint="eastAsia"/>
          <w:b/>
          <w:bCs/>
          <w:sz w:val="24"/>
          <w:szCs w:val="24"/>
          <w:lang w:eastAsia="zh-CN"/>
        </w:rPr>
        <w:t>安徽芯一信息材料有限公司</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b/>
          <w:bCs/>
          <w:sz w:val="24"/>
          <w:szCs w:val="24"/>
        </w:rPr>
        <w:sectPr>
          <w:headerReference r:id="rId3" w:type="default"/>
          <w:pgSz w:w="11906" w:h="16838"/>
          <w:pgMar w:top="1440" w:right="1803" w:bottom="1440" w:left="1803" w:header="851" w:footer="992" w:gutter="0"/>
          <w:pgNumType w:fmt="numberInDash"/>
          <w:cols w:space="720" w:num="1"/>
          <w:docGrid w:type="lines" w:linePitch="319" w:charSpace="0"/>
        </w:sectPr>
      </w:pPr>
      <w:r>
        <w:rPr>
          <w:rFonts w:hint="default"/>
          <w:b/>
          <w:bCs/>
          <w:sz w:val="24"/>
          <w:szCs w:val="24"/>
          <w:lang w:val="en-US" w:eastAsia="zh-CN"/>
        </w:rPr>
        <w:t xml:space="preserve">                                              </w:t>
      </w:r>
      <w:r>
        <w:rPr>
          <w:rFonts w:hint="default"/>
          <w:b/>
          <w:bCs/>
          <w:sz w:val="24"/>
          <w:szCs w:val="24"/>
        </w:rPr>
        <w:t>2021年</w:t>
      </w:r>
      <w:r>
        <w:rPr>
          <w:rFonts w:hint="eastAsia"/>
          <w:b/>
          <w:bCs/>
          <w:sz w:val="24"/>
          <w:szCs w:val="24"/>
          <w:lang w:val="en-US" w:eastAsia="zh-CN"/>
        </w:rPr>
        <w:t>5</w:t>
      </w:r>
      <w:r>
        <w:rPr>
          <w:rFonts w:hint="default"/>
          <w:b/>
          <w:bCs/>
          <w:sz w:val="24"/>
          <w:szCs w:val="24"/>
        </w:rPr>
        <w:t>月</w:t>
      </w:r>
      <w:r>
        <w:rPr>
          <w:rFonts w:hint="eastAsia"/>
          <w:b/>
          <w:bCs/>
          <w:sz w:val="24"/>
          <w:szCs w:val="24"/>
          <w:lang w:val="en-US" w:eastAsia="zh-CN"/>
        </w:rPr>
        <w:t>22</w:t>
      </w:r>
      <w:r>
        <w:rPr>
          <w:rFonts w:hint="default"/>
          <w:b/>
          <w:bCs/>
          <w:sz w:val="24"/>
          <w:szCs w:val="24"/>
        </w:rPr>
        <w:t>日</w:t>
      </w:r>
    </w:p>
    <w:p>
      <w:pPr>
        <w:bidi w:val="0"/>
        <w:rPr>
          <w:rFonts w:hint="default"/>
          <w:lang w:eastAsia="zh-CN"/>
        </w:rPr>
      </w:pPr>
      <w:r>
        <w:rPr>
          <w:rFonts w:hint="default"/>
          <w:lang w:eastAsia="zh-CN"/>
        </w:rPr>
        <w:drawing>
          <wp:inline distT="0" distB="0" distL="114300" distR="114300">
            <wp:extent cx="5266690" cy="8119745"/>
            <wp:effectExtent l="0" t="0" r="6350" b="3175"/>
            <wp:docPr id="1" name="图片 1" descr="bb2540f3172b776383275d1e9239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b2540f3172b776383275d1e9239659"/>
                    <pic:cNvPicPr>
                      <a:picLocks noChangeAspect="1"/>
                    </pic:cNvPicPr>
                  </pic:nvPicPr>
                  <pic:blipFill>
                    <a:blip r:embed="rId5"/>
                    <a:stretch>
                      <a:fillRect/>
                    </a:stretch>
                  </pic:blipFill>
                  <pic:spPr>
                    <a:xfrm>
                      <a:off x="0" y="0"/>
                      <a:ext cx="5266690" cy="8119745"/>
                    </a:xfrm>
                    <a:prstGeom prst="rect">
                      <a:avLst/>
                    </a:prstGeom>
                  </pic:spPr>
                </pic:pic>
              </a:graphicData>
            </a:graphic>
          </wp:inline>
        </w:drawing>
      </w:r>
    </w:p>
    <w:p>
      <w:pPr>
        <w:pStyle w:val="2"/>
        <w:rPr>
          <w:rFonts w:hint="default"/>
          <w:lang w:eastAsia="zh-CN"/>
        </w:rPr>
      </w:pPr>
    </w:p>
    <w:p>
      <w:pPr>
        <w:pStyle w:val="2"/>
        <w:rPr>
          <w:rFonts w:hint="default"/>
          <w:lang w:eastAsia="zh-CN"/>
        </w:rPr>
      </w:pPr>
    </w:p>
    <w:p>
      <w:pPr>
        <w:pStyle w:val="2"/>
        <w:rPr>
          <w:rFonts w:hint="default"/>
          <w:lang w:eastAsia="zh-CN"/>
        </w:rPr>
      </w:pPr>
      <w:r>
        <w:rPr>
          <w:rFonts w:hint="default"/>
          <w:lang w:eastAsia="zh-CN"/>
        </w:rPr>
        <w:drawing>
          <wp:anchor distT="0" distB="0" distL="114935" distR="114935" simplePos="0" relativeHeight="251659264" behindDoc="0" locked="0" layoutInCell="1" allowOverlap="1">
            <wp:simplePos x="0" y="0"/>
            <wp:positionH relativeFrom="column">
              <wp:posOffset>33655</wp:posOffset>
            </wp:positionH>
            <wp:positionV relativeFrom="paragraph">
              <wp:posOffset>633730</wp:posOffset>
            </wp:positionV>
            <wp:extent cx="5266690" cy="7944485"/>
            <wp:effectExtent l="0" t="0" r="6350" b="10795"/>
            <wp:wrapSquare wrapText="bothSides"/>
            <wp:docPr id="2" name="图片 2" descr="f2d0a888ef9fbc45d6f17497d0d8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d0a888ef9fbc45d6f17497d0d89a8"/>
                    <pic:cNvPicPr>
                      <a:picLocks noChangeAspect="1"/>
                    </pic:cNvPicPr>
                  </pic:nvPicPr>
                  <pic:blipFill>
                    <a:blip r:embed="rId6"/>
                    <a:stretch>
                      <a:fillRect/>
                    </a:stretch>
                  </pic:blipFill>
                  <pic:spPr>
                    <a:xfrm>
                      <a:off x="0" y="0"/>
                      <a:ext cx="5266690" cy="7944485"/>
                    </a:xfrm>
                    <a:prstGeom prst="rect">
                      <a:avLst/>
                    </a:prstGeom>
                  </pic:spPr>
                </pic:pic>
              </a:graphicData>
            </a:graphic>
          </wp:anchor>
        </w:drawing>
      </w:r>
    </w:p>
    <w:p>
      <w:pPr>
        <w:pStyle w:val="2"/>
        <w:rPr>
          <w:rFonts w:hint="default"/>
          <w:lang w:eastAsia="zh-CN"/>
        </w:rPr>
      </w:pPr>
    </w:p>
    <w:p>
      <w:pPr>
        <w:pStyle w:val="2"/>
        <w:rPr>
          <w:rFonts w:hint="default"/>
          <w:lang w:eastAsia="zh-CN"/>
        </w:rPr>
      </w:pPr>
      <w:r>
        <w:rPr>
          <w:rFonts w:hint="default"/>
          <w:lang w:eastAsia="zh-CN"/>
        </w:rPr>
        <w:drawing>
          <wp:anchor distT="0" distB="0" distL="114935" distR="114935" simplePos="0" relativeHeight="251661312" behindDoc="1" locked="0" layoutInCell="1" allowOverlap="1">
            <wp:simplePos x="0" y="0"/>
            <wp:positionH relativeFrom="column">
              <wp:posOffset>-135890</wp:posOffset>
            </wp:positionH>
            <wp:positionV relativeFrom="paragraph">
              <wp:posOffset>855345</wp:posOffset>
            </wp:positionV>
            <wp:extent cx="5266690" cy="7495540"/>
            <wp:effectExtent l="0" t="0" r="6350" b="2540"/>
            <wp:wrapTight wrapText="bothSides">
              <wp:wrapPolygon>
                <wp:start x="0" y="0"/>
                <wp:lineTo x="0" y="21563"/>
                <wp:lineTo x="21564" y="21563"/>
                <wp:lineTo x="21564" y="0"/>
                <wp:lineTo x="0" y="0"/>
              </wp:wrapPolygon>
            </wp:wrapTight>
            <wp:docPr id="5" name="图片 5" descr="58db26a4309c288835b869d5fb08a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8db26a4309c288835b869d5fb08a0d"/>
                    <pic:cNvPicPr>
                      <a:picLocks noChangeAspect="1"/>
                    </pic:cNvPicPr>
                  </pic:nvPicPr>
                  <pic:blipFill>
                    <a:blip r:embed="rId7"/>
                    <a:stretch>
                      <a:fillRect/>
                    </a:stretch>
                  </pic:blipFill>
                  <pic:spPr>
                    <a:xfrm>
                      <a:off x="0" y="0"/>
                      <a:ext cx="5266690" cy="7495540"/>
                    </a:xfrm>
                    <a:prstGeom prst="rect">
                      <a:avLst/>
                    </a:prstGeom>
                  </pic:spPr>
                </pic:pic>
              </a:graphicData>
            </a:graphic>
          </wp:anchor>
        </w:drawing>
      </w:r>
    </w:p>
    <w:p>
      <w:pPr>
        <w:pStyle w:val="2"/>
        <w:rPr>
          <w:rFonts w:hint="default"/>
          <w:lang w:eastAsia="zh-CN"/>
        </w:rPr>
      </w:pPr>
    </w:p>
    <w:p>
      <w:pPr>
        <w:pStyle w:val="2"/>
        <w:rPr>
          <w:rFonts w:hint="default"/>
          <w:lang w:eastAsia="zh-CN"/>
        </w:rPr>
      </w:pPr>
      <w:r>
        <w:rPr>
          <w:rFonts w:hint="default"/>
          <w:lang w:eastAsia="zh-CN"/>
        </w:rPr>
        <w:drawing>
          <wp:anchor distT="0" distB="0" distL="114935" distR="114935" simplePos="0" relativeHeight="251660288" behindDoc="1" locked="0" layoutInCell="1" allowOverlap="1">
            <wp:simplePos x="0" y="0"/>
            <wp:positionH relativeFrom="column">
              <wp:posOffset>17145</wp:posOffset>
            </wp:positionH>
            <wp:positionV relativeFrom="paragraph">
              <wp:posOffset>203200</wp:posOffset>
            </wp:positionV>
            <wp:extent cx="5266690" cy="7871460"/>
            <wp:effectExtent l="0" t="0" r="6350" b="7620"/>
            <wp:wrapTight wrapText="bothSides">
              <wp:wrapPolygon>
                <wp:start x="0" y="0"/>
                <wp:lineTo x="0" y="21579"/>
                <wp:lineTo x="21564" y="21579"/>
                <wp:lineTo x="21564" y="0"/>
                <wp:lineTo x="0" y="0"/>
              </wp:wrapPolygon>
            </wp:wrapTight>
            <wp:docPr id="4" name="图片 4" descr="7cbb989e0241013e77d7a34a339fe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cbb989e0241013e77d7a34a339fe6d"/>
                    <pic:cNvPicPr>
                      <a:picLocks noChangeAspect="1"/>
                    </pic:cNvPicPr>
                  </pic:nvPicPr>
                  <pic:blipFill>
                    <a:blip r:embed="rId8"/>
                    <a:stretch>
                      <a:fillRect/>
                    </a:stretch>
                  </pic:blipFill>
                  <pic:spPr>
                    <a:xfrm>
                      <a:off x="0" y="0"/>
                      <a:ext cx="5266690" cy="7871460"/>
                    </a:xfrm>
                    <a:prstGeom prst="rect">
                      <a:avLst/>
                    </a:prstGeom>
                  </pic:spPr>
                </pic:pic>
              </a:graphicData>
            </a:graphic>
          </wp:anchor>
        </w:drawing>
      </w:r>
    </w:p>
    <w:p>
      <w:pPr>
        <w:pStyle w:val="2"/>
        <w:rPr>
          <w:rFonts w:hint="default"/>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463D08"/>
    <w:rsid w:val="71463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before="15" w:beforeLines="0" w:line="480" w:lineRule="exact"/>
      <w:ind w:firstLine="496" w:firstLineChars="200"/>
    </w:pPr>
    <w:rPr>
      <w:rFonts w:ascii="宋体" w:hAnsi="宋体"/>
      <w:spacing w:val="4"/>
      <w:sz w:val="24"/>
    </w:rPr>
  </w:style>
  <w:style w:type="paragraph" w:styleId="4">
    <w:name w:val="Salutation"/>
    <w:basedOn w:val="1"/>
    <w:next w:val="1"/>
    <w:qFormat/>
    <w:uiPriority w:val="0"/>
  </w:style>
  <w:style w:type="paragraph" w:styleId="5">
    <w:name w:val="Body Text"/>
    <w:basedOn w:val="1"/>
    <w:next w:val="4"/>
    <w:qFormat/>
    <w:uiPriority w:val="1"/>
    <w:rPr>
      <w:rFonts w:ascii="宋体" w:hAnsi="宋体" w:eastAsia="宋体" w:cs="宋体"/>
      <w:sz w:val="24"/>
      <w:szCs w:val="24"/>
      <w:lang w:val="zh-CN" w:eastAsia="zh-CN" w:bidi="zh-CN"/>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paragraph" w:customStyle="1" w:styleId="11">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2021-05-22T07:32:00Z</dcterms:created>
  <dc:creator>小胖栗</dc:creator>
  <cp:lastModifiedBy>小胖栗</cp:lastModifiedBy>
  <dcterms:modified xsi:type="dcterms:W3CDTF">2021-05-22T08:14:52Z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A860C822D5EC4FC98695C1B904804FD2</vt:lpwstr>
  </property>
</Properties>
</file>