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1446" w:firstLineChars="200"/>
        <w:jc w:val="center"/>
        <w:textAlignment w:val="auto"/>
        <w:rPr>
          <w:rFonts w:hint="eastAsia" w:ascii="Times New Roman" w:hAnsi="Times New Roman" w:cs="Times New Roman"/>
          <w:b/>
          <w:bCs/>
          <w:sz w:val="72"/>
          <w:szCs w:val="7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1446" w:firstLineChars="200"/>
        <w:jc w:val="center"/>
        <w:textAlignment w:val="auto"/>
        <w:rPr>
          <w:rFonts w:hint="eastAsia" w:ascii="Times New Roman" w:hAnsi="Times New Roman" w:cs="Times New Roman"/>
          <w:b/>
          <w:bCs/>
          <w:sz w:val="72"/>
          <w:szCs w:val="7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1446" w:firstLineChars="200"/>
        <w:jc w:val="center"/>
        <w:textAlignment w:val="auto"/>
        <w:rPr>
          <w:rFonts w:hint="eastAsia" w:ascii="Times New Roman" w:hAnsi="Times New Roman" w:cs="Times New Roman"/>
          <w:b/>
          <w:bCs/>
          <w:sz w:val="72"/>
          <w:szCs w:val="7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1446" w:firstLineChars="200"/>
        <w:jc w:val="center"/>
        <w:textAlignment w:val="auto"/>
        <w:rPr>
          <w:rFonts w:hint="eastAsia" w:ascii="Times New Roman" w:hAnsi="Times New Roman" w:cs="Times New Roman"/>
          <w:b/>
          <w:bCs/>
          <w:sz w:val="72"/>
          <w:szCs w:val="7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b/>
          <w:bCs/>
          <w:sz w:val="72"/>
          <w:szCs w:val="7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1446" w:firstLineChars="200"/>
        <w:jc w:val="center"/>
        <w:textAlignment w:val="auto"/>
        <w:rPr>
          <w:rFonts w:hint="eastAsia" w:ascii="Times New Roman" w:hAnsi="Times New Roman" w:cs="Times New Roman"/>
          <w:b/>
          <w:bCs/>
          <w:sz w:val="72"/>
          <w:szCs w:val="7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72"/>
          <w:szCs w:val="72"/>
          <w:lang w:val="en-US" w:eastAsia="zh-CN"/>
        </w:rPr>
      </w:pPr>
      <w:r>
        <w:rPr>
          <w:rFonts w:hint="eastAsia" w:ascii="Times New Roman" w:hAnsi="Times New Roman" w:cs="Times New Roman"/>
          <w:b/>
          <w:bCs/>
          <w:sz w:val="72"/>
          <w:szCs w:val="72"/>
          <w:lang w:val="en-US" w:eastAsia="zh-CN"/>
        </w:rPr>
        <w:t>第三部分</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72"/>
          <w:szCs w:val="7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72"/>
          <w:szCs w:val="72"/>
          <w:lang w:val="en-US" w:eastAsia="zh-CN"/>
        </w:rPr>
      </w:pPr>
      <w:r>
        <w:rPr>
          <w:rFonts w:hint="eastAsia" w:ascii="Times New Roman" w:hAnsi="Times New Roman" w:cs="Times New Roman"/>
          <w:b/>
          <w:bCs/>
          <w:sz w:val="72"/>
          <w:szCs w:val="72"/>
          <w:lang w:val="en-US" w:eastAsia="zh-CN"/>
        </w:rPr>
        <w:t>其他需要说明的事项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pPr>
    </w:p>
    <w:p>
      <w:pPr>
        <w:pStyle w:val="2"/>
      </w:pPr>
    </w:p>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Calibri" w:hAnsi="Calibri" w:eastAsia="微软雅黑"/>
          <w:sz w:val="28"/>
          <w:szCs w:val="28"/>
        </w:rPr>
      </w:pPr>
      <w:r>
        <w:rPr>
          <w:rFonts w:hint="eastAsia" w:ascii="Calibri" w:hAnsi="Calibri" w:eastAsia="微软雅黑"/>
          <w:sz w:val="28"/>
          <w:szCs w:val="28"/>
        </w:rPr>
        <w:t>安徽芯一信息材料有限公司第二代单晶用特种陶瓷制造项目</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Calibri" w:hAnsi="Calibri" w:eastAsia="微软雅黑"/>
          <w:sz w:val="28"/>
          <w:szCs w:val="28"/>
          <w:lang w:val="en-US" w:eastAsia="zh-CN"/>
        </w:rPr>
      </w:pPr>
      <w:r>
        <w:rPr>
          <w:rFonts w:hint="eastAsia" w:ascii="Calibri" w:hAnsi="Calibri" w:eastAsia="微软雅黑"/>
          <w:sz w:val="28"/>
          <w:szCs w:val="28"/>
          <w:lang w:eastAsia="zh-CN"/>
        </w:rPr>
        <w:t>阶段性</w:t>
      </w:r>
      <w:r>
        <w:rPr>
          <w:rFonts w:hint="eastAsia" w:ascii="Calibri" w:hAnsi="Calibri" w:eastAsia="微软雅黑"/>
          <w:sz w:val="28"/>
          <w:szCs w:val="28"/>
          <w:lang w:val="en-US" w:eastAsia="zh-CN"/>
        </w:rPr>
        <w:t>竣工环境保护验收其他需要说明的事项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根据《建设项目竣工环境保护验收暂行办法》，</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其他需要说明的事项</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中应如实记载的内容包括环境保护设施设计、施工和验收过程简况，环境影响报告表及其审批部门审批决定中提出的，除环境保护设施外的其他环境保护措施的落实情况，以及整改工作的情况，现将建设单位需要说明的具体内容和要求列举如下：</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482" w:firstLineChars="200"/>
        <w:jc w:val="both"/>
        <w:textAlignment w:val="auto"/>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环境保护设施设计、施工和验收过程简况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1.1设计简况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建设项目的</w:t>
      </w:r>
      <w:r>
        <w:rPr>
          <w:rFonts w:hint="eastAsia" w:ascii="Times New Roman" w:hAnsi="Times New Roman" w:cs="Times New Roman"/>
          <w:sz w:val="24"/>
          <w:szCs w:val="24"/>
          <w:lang w:val="en-US" w:eastAsia="zh-CN"/>
        </w:rPr>
        <w:t>环境</w:t>
      </w:r>
      <w:r>
        <w:rPr>
          <w:rFonts w:hint="default" w:ascii="Times New Roman" w:hAnsi="Times New Roman" w:cs="Times New Roman"/>
          <w:sz w:val="24"/>
          <w:szCs w:val="24"/>
          <w:lang w:val="en-US" w:eastAsia="zh-CN"/>
        </w:rPr>
        <w:t>保护设施纳入了初步设计，环境保护设施的设计符合环境保护设计规范的要求，编制了环境保护篇章，落实了防止污染和生态破坏措施以及环境保护设施投资概算。</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1.2施工简况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本项目已将环境保护设施纳入了施工合同，环境保护设施的进度和资金得到了保证，项目建设过程中组织实施了环境影响报告表及其审批部门决定提出来的环保护对策措施。</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1.3验收过程简况</w:t>
      </w:r>
    </w:p>
    <w:p>
      <w:pPr>
        <w:keepNext w:val="0"/>
        <w:keepLines w:val="0"/>
        <w:pageBreakBefore w:val="0"/>
        <w:widowControl w:val="0"/>
        <w:kinsoku/>
        <w:wordWrap/>
        <w:overflowPunct/>
        <w:topLinePunct w:val="0"/>
        <w:autoSpaceDE/>
        <w:autoSpaceDN/>
        <w:bidi w:val="0"/>
        <w:adjustRightInd/>
        <w:snapToGrid/>
        <w:spacing w:after="0" w:line="440" w:lineRule="exact"/>
        <w:ind w:firstLine="480" w:firstLineChars="200"/>
        <w:textAlignment w:val="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本项目于20</w:t>
      </w:r>
      <w:r>
        <w:rPr>
          <w:rFonts w:hint="eastAsia" w:asciiTheme="minorEastAsia" w:hAnsiTheme="minorEastAsia"/>
          <w:sz w:val="24"/>
          <w:szCs w:val="24"/>
          <w:lang w:val="en-US" w:eastAsia="zh-CN"/>
        </w:rPr>
        <w:t>21</w:t>
      </w:r>
      <w:r>
        <w:rPr>
          <w:rFonts w:hint="eastAsia" w:asciiTheme="minorEastAsia" w:hAnsiTheme="minorEastAsia" w:eastAsiaTheme="minorEastAsia"/>
          <w:sz w:val="24"/>
          <w:szCs w:val="24"/>
        </w:rPr>
        <w:t>年</w:t>
      </w:r>
      <w:r>
        <w:rPr>
          <w:rFonts w:hint="eastAsia" w:asciiTheme="minorEastAsia" w:hAnsiTheme="minorEastAsia"/>
          <w:sz w:val="24"/>
          <w:szCs w:val="24"/>
          <w:lang w:val="en-US" w:eastAsia="zh-CN"/>
        </w:rPr>
        <w:t>4</w:t>
      </w:r>
      <w:r>
        <w:rPr>
          <w:rFonts w:hint="eastAsia" w:asciiTheme="minorEastAsia" w:hAnsiTheme="minorEastAsia" w:eastAsiaTheme="minorEastAsia"/>
          <w:sz w:val="24"/>
          <w:szCs w:val="24"/>
        </w:rPr>
        <w:t>月竣工， 巢湖市亚庆环保科技有限责任公司东塘路分公司接受委托对该项目进行</w:t>
      </w:r>
      <w:r>
        <w:rPr>
          <w:rFonts w:hint="eastAsia" w:asciiTheme="minorEastAsia" w:hAnsiTheme="minorEastAsia"/>
          <w:sz w:val="24"/>
          <w:szCs w:val="24"/>
          <w:lang w:eastAsia="zh-CN"/>
        </w:rPr>
        <w:t>阶段性</w:t>
      </w:r>
      <w:r>
        <w:rPr>
          <w:rFonts w:hint="eastAsia" w:asciiTheme="minorEastAsia" w:hAnsiTheme="minorEastAsia" w:eastAsiaTheme="minorEastAsia"/>
          <w:sz w:val="24"/>
          <w:szCs w:val="24"/>
        </w:rPr>
        <w:t>竣工环境保护验收工作。巢湖市亚庆环保科技有限责任公司东塘路分公司技术人员接受委托后对该项目建设、环境保护设施以及污染物排放情况进行了勘察，根据企业提供的资料和实际情况编制了</w:t>
      </w:r>
      <w:r>
        <w:rPr>
          <w:rFonts w:hint="eastAsia" w:asciiTheme="minorEastAsia" w:hAnsiTheme="minorEastAsia"/>
          <w:sz w:val="24"/>
          <w:szCs w:val="24"/>
          <w:lang w:eastAsia="zh-CN"/>
        </w:rPr>
        <w:t>阶段性</w:t>
      </w:r>
      <w:r>
        <w:rPr>
          <w:rFonts w:hint="eastAsia" w:asciiTheme="minorEastAsia" w:hAnsiTheme="minorEastAsia" w:eastAsiaTheme="minorEastAsia"/>
          <w:sz w:val="24"/>
          <w:szCs w:val="24"/>
        </w:rPr>
        <w:t>验收监测方案。20</w:t>
      </w:r>
      <w:r>
        <w:rPr>
          <w:rFonts w:hint="eastAsia" w:asciiTheme="minorEastAsia" w:hAnsiTheme="minorEastAsia"/>
          <w:sz w:val="24"/>
          <w:szCs w:val="24"/>
          <w:lang w:val="en-US" w:eastAsia="zh-CN"/>
        </w:rPr>
        <w:t>21</w:t>
      </w:r>
      <w:r>
        <w:rPr>
          <w:rFonts w:hint="eastAsia" w:asciiTheme="minorEastAsia" w:hAnsiTheme="minorEastAsia" w:eastAsiaTheme="minorEastAsia"/>
          <w:sz w:val="24"/>
          <w:szCs w:val="24"/>
        </w:rPr>
        <w:t>年</w:t>
      </w:r>
      <w:r>
        <w:rPr>
          <w:rFonts w:hint="eastAsia" w:asciiTheme="minorEastAsia" w:hAnsiTheme="minorEastAsia"/>
          <w:sz w:val="24"/>
          <w:szCs w:val="24"/>
          <w:lang w:val="en-US" w:eastAsia="zh-CN"/>
        </w:rPr>
        <w:t>5</w:t>
      </w:r>
      <w:r>
        <w:rPr>
          <w:rFonts w:hint="eastAsia" w:asciiTheme="minorEastAsia" w:hAnsiTheme="minorEastAsia" w:eastAsiaTheme="minorEastAsia"/>
          <w:sz w:val="24"/>
          <w:szCs w:val="24"/>
        </w:rPr>
        <w:t>月</w:t>
      </w:r>
      <w:r>
        <w:rPr>
          <w:rFonts w:hint="eastAsia" w:asciiTheme="minorEastAsia" w:hAnsiTheme="minorEastAsia"/>
          <w:sz w:val="24"/>
          <w:szCs w:val="24"/>
          <w:lang w:val="en-US" w:eastAsia="zh-CN"/>
        </w:rPr>
        <w:t>13</w:t>
      </w:r>
      <w:r>
        <w:rPr>
          <w:rFonts w:hint="eastAsia" w:asciiTheme="minorEastAsia" w:hAnsiTheme="minorEastAsia" w:eastAsiaTheme="minorEastAsia"/>
          <w:sz w:val="24"/>
          <w:szCs w:val="24"/>
        </w:rPr>
        <w:t>日-</w:t>
      </w:r>
      <w:r>
        <w:rPr>
          <w:rFonts w:hint="eastAsia" w:asciiTheme="minorEastAsia" w:hAnsiTheme="minorEastAsia"/>
          <w:sz w:val="24"/>
          <w:szCs w:val="24"/>
          <w:lang w:val="en-US" w:eastAsia="zh-CN"/>
        </w:rPr>
        <w:t>14</w:t>
      </w:r>
      <w:r>
        <w:rPr>
          <w:rFonts w:hint="eastAsia" w:asciiTheme="minorEastAsia" w:hAnsiTheme="minorEastAsia" w:eastAsiaTheme="minorEastAsia"/>
          <w:sz w:val="24"/>
          <w:szCs w:val="24"/>
        </w:rPr>
        <w:t>日，</w:t>
      </w:r>
      <w:r>
        <w:rPr>
          <w:rFonts w:hint="eastAsia" w:asciiTheme="minorEastAsia" w:hAnsiTheme="minorEastAsia"/>
          <w:sz w:val="24"/>
          <w:szCs w:val="24"/>
          <w:lang w:eastAsia="zh-CN"/>
        </w:rPr>
        <w:t>安徽品格检测技术有限公司</w:t>
      </w:r>
      <w:r>
        <w:rPr>
          <w:rFonts w:hint="eastAsia" w:asciiTheme="minorEastAsia" w:hAnsiTheme="minorEastAsia" w:eastAsiaTheme="minorEastAsia"/>
          <w:sz w:val="24"/>
          <w:szCs w:val="24"/>
        </w:rPr>
        <w:t>对该项目进行了验收监测。根据监测结果及企业环境管理实际情况，巢湖市亚庆环保科技有限责任公司东塘路分公司编制了本报告。20</w:t>
      </w:r>
      <w:r>
        <w:rPr>
          <w:rFonts w:hint="eastAsia" w:asciiTheme="minorEastAsia" w:hAnsiTheme="minorEastAsia"/>
          <w:sz w:val="24"/>
          <w:szCs w:val="24"/>
          <w:lang w:val="en-US" w:eastAsia="zh-CN"/>
        </w:rPr>
        <w:t>21</w:t>
      </w:r>
      <w:r>
        <w:rPr>
          <w:rFonts w:hint="eastAsia" w:asciiTheme="minorEastAsia" w:hAnsiTheme="minorEastAsia" w:eastAsiaTheme="minorEastAsia"/>
          <w:sz w:val="24"/>
          <w:szCs w:val="24"/>
        </w:rPr>
        <w:t>年</w:t>
      </w:r>
      <w:r>
        <w:rPr>
          <w:rFonts w:hint="eastAsia" w:asciiTheme="minorEastAsia" w:hAnsiTheme="minorEastAsia"/>
          <w:sz w:val="24"/>
          <w:szCs w:val="24"/>
          <w:lang w:val="en-US" w:eastAsia="zh-CN"/>
        </w:rPr>
        <w:t>5</w:t>
      </w:r>
      <w:r>
        <w:rPr>
          <w:rFonts w:hint="eastAsia" w:asciiTheme="minorEastAsia" w:hAnsiTheme="minorEastAsia" w:eastAsiaTheme="minorEastAsia"/>
          <w:sz w:val="24"/>
          <w:szCs w:val="24"/>
        </w:rPr>
        <w:t>月</w:t>
      </w:r>
      <w:r>
        <w:rPr>
          <w:rFonts w:hint="eastAsia" w:asciiTheme="minorEastAsia" w:hAnsiTheme="minorEastAsia"/>
          <w:sz w:val="24"/>
          <w:szCs w:val="24"/>
          <w:lang w:val="en-US" w:eastAsia="zh-CN"/>
        </w:rPr>
        <w:t>22</w:t>
      </w:r>
      <w:r>
        <w:rPr>
          <w:rFonts w:hint="eastAsia" w:asciiTheme="minorEastAsia" w:hAnsiTheme="minorEastAsia" w:eastAsiaTheme="minorEastAsia"/>
          <w:sz w:val="24"/>
          <w:szCs w:val="24"/>
        </w:rPr>
        <w:t>日，在巢湖召开了</w:t>
      </w:r>
      <w:r>
        <w:rPr>
          <w:rFonts w:hint="eastAsia" w:asciiTheme="minorEastAsia" w:hAnsiTheme="minorEastAsia"/>
          <w:sz w:val="24"/>
          <w:szCs w:val="24"/>
          <w:lang w:eastAsia="zh-CN"/>
        </w:rPr>
        <w:t>“安徽芯一信息材料有限公司第二代单晶用特种陶瓷制造项目”阶段性</w:t>
      </w:r>
      <w:r>
        <w:rPr>
          <w:rFonts w:hint="eastAsia" w:asciiTheme="minorEastAsia" w:hAnsiTheme="minorEastAsia" w:eastAsiaTheme="minorEastAsia"/>
          <w:sz w:val="24"/>
          <w:szCs w:val="24"/>
        </w:rPr>
        <w:t>竣工环境保护验收会，验收组经现场检查并审阅有关资料，经认真讨论，认为：</w:t>
      </w:r>
      <w:r>
        <w:rPr>
          <w:rFonts w:hint="eastAsia" w:asciiTheme="minorEastAsia" w:hAnsiTheme="minorEastAsia"/>
          <w:sz w:val="24"/>
          <w:szCs w:val="24"/>
          <w:lang w:eastAsia="zh-CN"/>
        </w:rPr>
        <w:t>安徽芯一信息材料有限公司第二代单晶用特种陶瓷制造项目</w:t>
      </w:r>
      <w:r>
        <w:rPr>
          <w:rFonts w:hint="eastAsia" w:asciiTheme="minorEastAsia" w:hAnsiTheme="minorEastAsia" w:eastAsiaTheme="minorEastAsia"/>
          <w:sz w:val="24"/>
          <w:szCs w:val="24"/>
        </w:rPr>
        <w:t>环评审批手续齐全，主要污染防治设施已建成，实现达标排放，满足《建设项目竣工环境保护验收暂行办法》要求，具备</w:t>
      </w:r>
      <w:r>
        <w:rPr>
          <w:rFonts w:hint="eastAsia" w:asciiTheme="minorEastAsia" w:hAnsiTheme="minorEastAsia"/>
          <w:sz w:val="24"/>
          <w:szCs w:val="24"/>
          <w:lang w:eastAsia="zh-CN"/>
        </w:rPr>
        <w:t>阶段性</w:t>
      </w:r>
      <w:r>
        <w:rPr>
          <w:rFonts w:hint="eastAsia" w:asciiTheme="minorEastAsia" w:hAnsiTheme="minorEastAsia" w:eastAsiaTheme="minorEastAsia"/>
          <w:sz w:val="24"/>
          <w:szCs w:val="24"/>
        </w:rPr>
        <w:t>竣工环保验收条件，验收合格。</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1.4公众反馈意见及处理情况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本项目建设项目设计、施工和验收期间未收到过公众反馈意见或投诉、反馈。</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Times New Roman" w:hAnsi="Times New Roman" w:cs="Times New Roman"/>
          <w:b/>
          <w:bCs/>
          <w:color w:val="auto"/>
          <w:sz w:val="24"/>
          <w:szCs w:val="24"/>
          <w:lang w:val="en-US" w:eastAsia="zh-CN"/>
        </w:rPr>
      </w:pPr>
      <w:r>
        <w:rPr>
          <w:rFonts w:hint="eastAsia" w:ascii="Times New Roman" w:hAnsi="Times New Roman" w:cs="Times New Roman"/>
          <w:b/>
          <w:bCs/>
          <w:color w:val="auto"/>
          <w:sz w:val="24"/>
          <w:szCs w:val="24"/>
          <w:lang w:val="en-US" w:eastAsia="zh-CN"/>
        </w:rPr>
        <w:t>2 其他环节保护措施的落实情况</w:t>
      </w:r>
    </w:p>
    <w:p>
      <w:pPr>
        <w:keepNext w:val="0"/>
        <w:keepLines w:val="0"/>
        <w:pageBreakBefore w:val="0"/>
        <w:widowControl w:val="0"/>
        <w:kinsoku/>
        <w:wordWrap/>
        <w:overflowPunct/>
        <w:topLinePunct w:val="0"/>
        <w:autoSpaceDE/>
        <w:autoSpaceDN/>
        <w:bidi w:val="0"/>
        <w:adjustRightInd/>
        <w:snapToGrid/>
        <w:spacing w:after="0" w:line="440" w:lineRule="exact"/>
        <w:ind w:firstLine="480" w:firstLineChars="200"/>
        <w:textAlignment w:val="auto"/>
        <w:rPr>
          <w:rFonts w:hint="eastAsia" w:asciiTheme="minorEastAsia" w:hAnsiTheme="minorEastAsia" w:eastAsiaTheme="minorEastAsia"/>
          <w:sz w:val="24"/>
          <w:szCs w:val="24"/>
        </w:rPr>
      </w:pPr>
      <w:r>
        <w:rPr>
          <w:rFonts w:hint="eastAsia" w:ascii="Times New Roman" w:hAnsi="Times New Roman" w:cs="Times New Roman"/>
          <w:sz w:val="24"/>
          <w:szCs w:val="24"/>
          <w:lang w:val="en-US" w:eastAsia="zh-CN"/>
        </w:rPr>
        <w:t xml:space="preserve"> </w:t>
      </w:r>
      <w:r>
        <w:rPr>
          <w:rFonts w:hint="eastAsia" w:asciiTheme="minorEastAsia" w:hAnsiTheme="minorEastAsia" w:eastAsiaTheme="minorEastAsia"/>
          <w:sz w:val="24"/>
          <w:szCs w:val="24"/>
        </w:rPr>
        <w:t>环境影响报告表及其审批部门审批决定中提出的，除环境保护设施外的其他环境保护措施，主要包括制度措施和配套措施，现将需要说明的措施内容和要求梳理梳理如下：</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2.1制度措施落实情况</w:t>
      </w:r>
    </w:p>
    <w:p>
      <w:pPr>
        <w:keepNext w:val="0"/>
        <w:keepLines w:val="0"/>
        <w:pageBreakBefore w:val="0"/>
        <w:widowControl w:val="0"/>
        <w:kinsoku/>
        <w:wordWrap/>
        <w:overflowPunct/>
        <w:topLinePunct w:val="0"/>
        <w:autoSpaceDE/>
        <w:autoSpaceDN/>
        <w:bidi w:val="0"/>
        <w:adjustRightInd/>
        <w:snapToGrid/>
        <w:spacing w:after="0" w:line="440" w:lineRule="exact"/>
        <w:ind w:firstLine="480" w:firstLineChars="200"/>
        <w:textAlignment w:val="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（1）环保组织机构及规章制度</w:t>
      </w:r>
    </w:p>
    <w:p>
      <w:pPr>
        <w:keepNext w:val="0"/>
        <w:keepLines w:val="0"/>
        <w:pageBreakBefore w:val="0"/>
        <w:widowControl w:val="0"/>
        <w:kinsoku/>
        <w:wordWrap/>
        <w:overflowPunct/>
        <w:topLinePunct w:val="0"/>
        <w:autoSpaceDE/>
        <w:autoSpaceDN/>
        <w:bidi w:val="0"/>
        <w:adjustRightInd/>
        <w:snapToGrid/>
        <w:spacing w:after="0" w:line="440" w:lineRule="exact"/>
        <w:ind w:firstLine="480" w:firstLineChars="200"/>
        <w:textAlignment w:val="auto"/>
        <w:rPr>
          <w:rFonts w:hint="eastAsia" w:asciiTheme="minorEastAsia" w:hAnsiTheme="minorEastAsia" w:eastAsiaTheme="minorEastAsia"/>
          <w:sz w:val="24"/>
          <w:szCs w:val="24"/>
        </w:rPr>
      </w:pPr>
      <w:r>
        <w:rPr>
          <w:rFonts w:hint="eastAsia" w:asciiTheme="minorEastAsia" w:hAnsiTheme="minorEastAsia"/>
          <w:sz w:val="24"/>
          <w:szCs w:val="24"/>
          <w:lang w:eastAsia="zh-CN"/>
        </w:rPr>
        <w:t>安徽芯一信息材料有限公司</w:t>
      </w:r>
      <w:r>
        <w:rPr>
          <w:rFonts w:hint="eastAsia" w:asciiTheme="minorEastAsia" w:hAnsiTheme="minorEastAsia" w:eastAsiaTheme="minorEastAsia"/>
          <w:sz w:val="24"/>
          <w:szCs w:val="24"/>
        </w:rPr>
        <w:t>已经成立环保管理机构并制定环境管理制度。</w:t>
      </w:r>
    </w:p>
    <w:p>
      <w:pPr>
        <w:keepNext w:val="0"/>
        <w:keepLines w:val="0"/>
        <w:pageBreakBefore w:val="0"/>
        <w:widowControl w:val="0"/>
        <w:kinsoku/>
        <w:wordWrap/>
        <w:overflowPunct/>
        <w:topLinePunct w:val="0"/>
        <w:autoSpaceDE/>
        <w:autoSpaceDN/>
        <w:bidi w:val="0"/>
        <w:adjustRightInd/>
        <w:snapToGrid/>
        <w:spacing w:after="0" w:line="440" w:lineRule="exact"/>
        <w:ind w:firstLine="480" w:firstLineChars="200"/>
        <w:textAlignment w:val="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（2）环境风险防范措施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sz w:val="24"/>
          <w:szCs w:val="24"/>
        </w:rPr>
      </w:pPr>
      <w:r>
        <w:rPr>
          <w:rFonts w:hint="eastAsia" w:asciiTheme="minorEastAsia" w:hAnsiTheme="minorEastAsia" w:eastAsiaTheme="minorEastAsia"/>
          <w:sz w:val="24"/>
          <w:szCs w:val="24"/>
        </w:rPr>
        <w:t>根据环境影响报告表及其审批部门审批意见，</w:t>
      </w:r>
      <w:r>
        <w:rPr>
          <w:rFonts w:hint="default" w:ascii="Times New Roman" w:hAnsi="Times New Roman" w:cs="Times New Roman"/>
          <w:sz w:val="24"/>
          <w:szCs w:val="24"/>
        </w:rPr>
        <w:t>建设单位</w:t>
      </w:r>
      <w:r>
        <w:rPr>
          <w:rFonts w:hint="default" w:ascii="Times New Roman" w:hAnsi="Times New Roman" w:cs="Times New Roman"/>
          <w:sz w:val="24"/>
          <w:szCs w:val="24"/>
          <w:lang w:eastAsia="zh-CN"/>
        </w:rPr>
        <w:t>已编制突发环境事故应急预案，备案编号为</w:t>
      </w:r>
      <w:r>
        <w:rPr>
          <w:rFonts w:hint="default" w:ascii="Times New Roman" w:hAnsi="Times New Roman" w:cs="Times New Roman"/>
          <w:sz w:val="24"/>
          <w:szCs w:val="24"/>
          <w:lang w:val="en-US" w:eastAsia="zh-CN"/>
        </w:rPr>
        <w:t>340181-2021-013-L</w:t>
      </w:r>
      <w:r>
        <w:rPr>
          <w:rFonts w:hint="eastAsia" w:ascii="Times New Roman" w:hAnsi="Times New Roman" w:cs="Times New Roman"/>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after="0" w:line="440" w:lineRule="exact"/>
        <w:ind w:firstLine="480" w:firstLineChars="200"/>
        <w:textAlignment w:val="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（3）环境监测计划</w:t>
      </w:r>
    </w:p>
    <w:p>
      <w:pPr>
        <w:keepNext w:val="0"/>
        <w:keepLines w:val="0"/>
        <w:pageBreakBefore w:val="0"/>
        <w:widowControl w:val="0"/>
        <w:kinsoku/>
        <w:wordWrap/>
        <w:overflowPunct/>
        <w:topLinePunct w:val="0"/>
        <w:autoSpaceDE/>
        <w:autoSpaceDN/>
        <w:bidi w:val="0"/>
        <w:adjustRightInd/>
        <w:snapToGrid/>
        <w:spacing w:after="0" w:line="440" w:lineRule="exact"/>
        <w:ind w:firstLine="480" w:firstLineChars="200"/>
        <w:textAlignment w:val="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asciiTheme="minorEastAsia" w:hAnsiTheme="minorEastAsia"/>
          <w:sz w:val="24"/>
          <w:szCs w:val="24"/>
          <w:lang w:eastAsia="zh-CN"/>
        </w:rPr>
        <w:t>安徽芯一信息材料有限公司第二代单晶用特种陶瓷制造项目</w:t>
      </w:r>
      <w:r>
        <w:rPr>
          <w:rFonts w:hint="eastAsia" w:asciiTheme="minorEastAsia" w:hAnsiTheme="minorEastAsia" w:eastAsiaTheme="minorEastAsia"/>
          <w:sz w:val="24"/>
          <w:szCs w:val="24"/>
        </w:rPr>
        <w:t>》及其审批部门决定</w:t>
      </w:r>
      <w:r>
        <w:rPr>
          <w:rFonts w:hint="eastAsia" w:asciiTheme="minorEastAsia" w:hAnsiTheme="minorEastAsia"/>
          <w:sz w:val="24"/>
          <w:szCs w:val="24"/>
          <w:lang w:eastAsia="zh-CN"/>
        </w:rPr>
        <w:t>已</w:t>
      </w:r>
      <w:r>
        <w:rPr>
          <w:rFonts w:hint="eastAsia" w:asciiTheme="minorEastAsia" w:hAnsiTheme="minorEastAsia" w:eastAsiaTheme="minorEastAsia"/>
          <w:sz w:val="24"/>
          <w:szCs w:val="24"/>
        </w:rPr>
        <w:t>制定环境监测计划。本项目</w:t>
      </w:r>
      <w:r>
        <w:rPr>
          <w:rFonts w:hint="eastAsia" w:asciiTheme="minorEastAsia" w:hAnsiTheme="minorEastAsia"/>
          <w:sz w:val="24"/>
          <w:szCs w:val="24"/>
          <w:lang w:eastAsia="zh-CN"/>
        </w:rPr>
        <w:t>阶段性</w:t>
      </w:r>
      <w:r>
        <w:rPr>
          <w:rFonts w:hint="eastAsia" w:asciiTheme="minorEastAsia" w:hAnsiTheme="minorEastAsia" w:eastAsiaTheme="minorEastAsia"/>
          <w:sz w:val="24"/>
          <w:szCs w:val="24"/>
        </w:rPr>
        <w:t>竣工环境保护验收调查阶段，</w:t>
      </w:r>
      <w:r>
        <w:rPr>
          <w:rFonts w:hint="eastAsia" w:asciiTheme="minorEastAsia" w:hAnsiTheme="minorEastAsia"/>
          <w:sz w:val="24"/>
          <w:szCs w:val="24"/>
          <w:lang w:eastAsia="zh-CN"/>
        </w:rPr>
        <w:t>安徽品格检测技术有限公司</w:t>
      </w:r>
      <w:r>
        <w:rPr>
          <w:rFonts w:hint="eastAsia" w:asciiTheme="minorEastAsia" w:hAnsiTheme="minorEastAsia" w:eastAsiaTheme="minorEastAsia"/>
          <w:sz w:val="24"/>
          <w:szCs w:val="24"/>
        </w:rPr>
        <w:t>对该项目进行了两天的监测，监测结果达标。</w:t>
      </w:r>
    </w:p>
    <w:p>
      <w:pPr>
        <w:keepNext w:val="0"/>
        <w:keepLines w:val="0"/>
        <w:pageBreakBefore w:val="0"/>
        <w:widowControl w:val="0"/>
        <w:kinsoku/>
        <w:wordWrap/>
        <w:overflowPunct/>
        <w:topLinePunct w:val="0"/>
        <w:autoSpaceDE/>
        <w:autoSpaceDN/>
        <w:bidi w:val="0"/>
        <w:adjustRightInd/>
        <w:snapToGrid/>
        <w:spacing w:after="0" w:line="440" w:lineRule="exact"/>
        <w:ind w:firstLine="480" w:firstLineChars="200"/>
        <w:textAlignment w:val="auto"/>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2.2配套措施落实情况</w:t>
      </w:r>
    </w:p>
    <w:p>
      <w:pPr>
        <w:keepNext w:val="0"/>
        <w:keepLines w:val="0"/>
        <w:pageBreakBefore w:val="0"/>
        <w:widowControl w:val="0"/>
        <w:numPr>
          <w:ilvl w:val="0"/>
          <w:numId w:val="2"/>
        </w:numPr>
        <w:kinsoku/>
        <w:wordWrap/>
        <w:overflowPunct/>
        <w:topLinePunct w:val="0"/>
        <w:autoSpaceDE/>
        <w:autoSpaceDN/>
        <w:bidi w:val="0"/>
        <w:adjustRightInd/>
        <w:snapToGrid/>
        <w:spacing w:after="0" w:line="440" w:lineRule="exact"/>
        <w:ind w:firstLine="480" w:firstLineChars="200"/>
        <w:textAlignment w:val="auto"/>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区域削减及淘汰落后产能</w:t>
      </w:r>
    </w:p>
    <w:p>
      <w:pPr>
        <w:keepNext w:val="0"/>
        <w:keepLines w:val="0"/>
        <w:pageBreakBefore w:val="0"/>
        <w:widowControl w:val="0"/>
        <w:numPr>
          <w:ilvl w:val="0"/>
          <w:numId w:val="0"/>
        </w:numPr>
        <w:kinsoku/>
        <w:wordWrap/>
        <w:overflowPunct/>
        <w:topLinePunct w:val="0"/>
        <w:autoSpaceDE/>
        <w:autoSpaceDN/>
        <w:bidi w:val="0"/>
        <w:adjustRightInd/>
        <w:snapToGrid/>
        <w:spacing w:after="0" w:line="440" w:lineRule="exact"/>
        <w:ind w:firstLine="480" w:firstLineChars="200"/>
        <w:textAlignment w:val="auto"/>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项目区域内不涉及污染物总量措施和淘汰落后产能。</w:t>
      </w:r>
    </w:p>
    <w:p>
      <w:pPr>
        <w:keepNext w:val="0"/>
        <w:keepLines w:val="0"/>
        <w:pageBreakBefore w:val="0"/>
        <w:widowControl w:val="0"/>
        <w:numPr>
          <w:ilvl w:val="0"/>
          <w:numId w:val="2"/>
        </w:numPr>
        <w:kinsoku/>
        <w:wordWrap/>
        <w:overflowPunct/>
        <w:topLinePunct w:val="0"/>
        <w:autoSpaceDE/>
        <w:autoSpaceDN/>
        <w:bidi w:val="0"/>
        <w:adjustRightInd/>
        <w:snapToGrid/>
        <w:spacing w:after="0" w:line="440" w:lineRule="exact"/>
        <w:ind w:left="0" w:leftChars="0" w:firstLine="480" w:firstLineChars="200"/>
        <w:textAlignment w:val="auto"/>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防护距离控制及居民搬迁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根据《</w:t>
      </w:r>
      <w:r>
        <w:rPr>
          <w:rFonts w:hint="eastAsia" w:asciiTheme="minorEastAsia" w:hAnsiTheme="minorEastAsia"/>
          <w:sz w:val="24"/>
          <w:szCs w:val="24"/>
          <w:lang w:eastAsia="zh-CN"/>
        </w:rPr>
        <w:t>安徽芯一信息材料有限公司第二代单晶用特种陶瓷制造项目</w:t>
      </w:r>
      <w:r>
        <w:rPr>
          <w:rFonts w:hint="eastAsia" w:asciiTheme="minorEastAsia" w:hAnsiTheme="minorEastAsia"/>
          <w:sz w:val="24"/>
          <w:szCs w:val="24"/>
          <w:lang w:val="en-US" w:eastAsia="zh-CN"/>
        </w:rPr>
        <w:t>》的批复可知，本项目未设置环境防护距离，项目周边无居住宅、医院、学校等环境敏感建筑。</w:t>
      </w:r>
    </w:p>
    <w:p>
      <w:pPr>
        <w:keepNext w:val="0"/>
        <w:keepLines w:val="0"/>
        <w:pageBreakBefore w:val="0"/>
        <w:widowControl w:val="0"/>
        <w:numPr>
          <w:ilvl w:val="0"/>
          <w:numId w:val="0"/>
        </w:numPr>
        <w:kinsoku/>
        <w:wordWrap/>
        <w:overflowPunct/>
        <w:topLinePunct w:val="0"/>
        <w:autoSpaceDE/>
        <w:autoSpaceDN/>
        <w:bidi w:val="0"/>
        <w:adjustRightInd/>
        <w:snapToGrid/>
        <w:spacing w:after="0" w:line="440" w:lineRule="exact"/>
        <w:ind w:leftChars="0" w:firstLine="480" w:firstLineChars="200"/>
        <w:textAlignment w:val="auto"/>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2.3其他措施落实情况</w:t>
      </w:r>
    </w:p>
    <w:p>
      <w:pPr>
        <w:keepNext w:val="0"/>
        <w:keepLines w:val="0"/>
        <w:pageBreakBefore w:val="0"/>
        <w:widowControl w:val="0"/>
        <w:numPr>
          <w:ilvl w:val="0"/>
          <w:numId w:val="0"/>
        </w:numPr>
        <w:kinsoku/>
        <w:wordWrap/>
        <w:overflowPunct/>
        <w:topLinePunct w:val="0"/>
        <w:autoSpaceDE/>
        <w:autoSpaceDN/>
        <w:bidi w:val="0"/>
        <w:adjustRightInd/>
        <w:snapToGrid/>
        <w:spacing w:after="0" w:line="440" w:lineRule="exact"/>
        <w:ind w:leftChars="0" w:firstLine="480" w:firstLineChars="200"/>
        <w:textAlignment w:val="auto"/>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after="0" w:line="440" w:lineRule="exact"/>
        <w:ind w:leftChars="0" w:firstLine="482" w:firstLineChars="200"/>
        <w:textAlignment w:val="auto"/>
        <w:rPr>
          <w:rFonts w:hint="eastAsia" w:asciiTheme="minorEastAsia" w:hAnsiTheme="minorEastAsia"/>
          <w:b/>
          <w:bCs/>
          <w:color w:val="auto"/>
          <w:sz w:val="24"/>
          <w:szCs w:val="24"/>
          <w:lang w:val="en-US" w:eastAsia="zh-CN"/>
        </w:rPr>
      </w:pPr>
      <w:r>
        <w:rPr>
          <w:rFonts w:hint="eastAsia" w:asciiTheme="minorEastAsia" w:hAnsiTheme="minorEastAsia"/>
          <w:b/>
          <w:bCs/>
          <w:color w:val="auto"/>
          <w:sz w:val="24"/>
          <w:szCs w:val="24"/>
          <w:lang w:val="en-US" w:eastAsia="zh-CN"/>
        </w:rPr>
        <w:t>3整改工作情况</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r>
        <w:rPr>
          <w:rFonts w:hint="eastAsia" w:ascii="Times New Roman" w:hAnsi="Times New Roman" w:eastAsia="宋体"/>
          <w:sz w:val="24"/>
        </w:rPr>
        <w:t>1、规范危废库建设，严格执行危废的各项管理规定，加强防渗等措施。规范一般固废场所建设，按固定法要求落实防扬散、防流失、防渗漏的三防措施。加强固废的环境管理。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eastAsia="zh-CN"/>
        </w:rPr>
      </w:pPr>
      <w:r>
        <w:rPr>
          <w:rFonts w:hint="eastAsia" w:ascii="Times New Roman" w:hAnsi="Times New Roman" w:eastAsia="宋体"/>
          <w:sz w:val="24"/>
        </w:rPr>
        <w:t>2、应定期维护污染防治设施，确保正常运行。制定运维制度，并做好记录。</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eastAsia="宋体"/>
          <w:sz w:val="24"/>
          <w:lang w:eastAsia="zh-CN"/>
        </w:rPr>
      </w:pP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Times New Roman" w:hAnsi="Times New Roman" w:eastAsia="宋体"/>
          <w:sz w:val="24"/>
          <w:lang w:eastAsia="zh-CN"/>
        </w:rPr>
      </w:pPr>
      <w:r>
        <w:rPr>
          <w:rFonts w:hint="eastAsia" w:ascii="Times New Roman" w:hAnsi="Times New Roman" w:eastAsia="宋体"/>
          <w:sz w:val="24"/>
          <w:lang w:eastAsia="zh-CN"/>
        </w:rPr>
        <w:t>安徽芯一信息材料有限公司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sz w:val="24"/>
          <w:szCs w:val="24"/>
          <w:lang w:val="en-US" w:eastAsia="zh-CN"/>
        </w:rPr>
      </w:pPr>
      <w:r>
        <w:rPr>
          <w:rFonts w:hint="eastAsia" w:ascii="Times New Roman" w:hAnsi="Times New Roman" w:eastAsia="宋体"/>
          <w:sz w:val="24"/>
        </w:rPr>
        <w:t xml:space="preserve">                                   </w:t>
      </w:r>
      <w:r>
        <w:rPr>
          <w:rFonts w:hint="eastAsia" w:ascii="Times New Roman" w:hAnsi="Times New Roman" w:eastAsia="宋体"/>
          <w:sz w:val="24"/>
          <w:lang w:val="en-US" w:eastAsia="zh-CN"/>
        </w:rPr>
        <w:t xml:space="preserve">         </w:t>
      </w:r>
      <w:r>
        <w:rPr>
          <w:rFonts w:hint="eastAsia" w:ascii="Times New Roman" w:hAnsi="Times New Roman" w:eastAsia="宋体"/>
          <w:sz w:val="24"/>
        </w:rPr>
        <w:t xml:space="preserve"> 2021年5月22日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90DF82"/>
    <w:multiLevelType w:val="singleLevel"/>
    <w:tmpl w:val="EA90DF82"/>
    <w:lvl w:ilvl="0" w:tentative="0">
      <w:start w:val="1"/>
      <w:numFmt w:val="decimal"/>
      <w:suff w:val="nothing"/>
      <w:lvlText w:val="（%1）"/>
      <w:lvlJc w:val="left"/>
    </w:lvl>
  </w:abstractNum>
  <w:abstractNum w:abstractNumId="1">
    <w:nsid w:val="13D220A2"/>
    <w:multiLevelType w:val="singleLevel"/>
    <w:tmpl w:val="13D220A2"/>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8F24A4"/>
    <w:rsid w:val="218F24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标号正文"/>
    <w:basedOn w:val="1"/>
    <w:next w:val="1"/>
    <w:qFormat/>
    <w:uiPriority w:val="0"/>
    <w:pPr>
      <w:tabs>
        <w:tab w:val="left" w:pos="1540"/>
      </w:tabs>
      <w:overflowPunct w:val="0"/>
      <w:snapToGrid w:val="0"/>
      <w:spacing w:line="360" w:lineRule="auto"/>
      <w:ind w:left="0" w:firstLine="1040"/>
      <w:jc w:val="left"/>
    </w:pPr>
    <w:rPr>
      <w:rFonts w:ascii="Arial" w:hAnsi="Arial" w:eastAsia="宋体"/>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2021-05-22T08:15:00Z</dcterms:created>
  <dc:creator>小胖栗</dc:creator>
  <cp:lastModifiedBy>小胖栗</cp:lastModifiedBy>
  <dcterms:modified xsi:type="dcterms:W3CDTF">2021-05-22T08:32:04Z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16A0F0ECAFC24C37978A0A2FBAD55B3D</vt:lpwstr>
  </property>
</Properties>
</file>